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color w:val="000000"/>
          <w:sz w:val="24"/>
          <w:szCs w:val="24"/>
          <w:u w:val="single"/>
        </w:rPr>
      </w:pPr>
      <w:bookmarkStart w:colFirst="0" w:colLast="0" w:name="_heading=h.dcltcwok6x8b" w:id="0"/>
      <w:bookmarkEnd w:id="0"/>
      <w:r w:rsidDel="00000000" w:rsidR="00000000" w:rsidRPr="00000000">
        <w:rPr>
          <w:rFonts w:ascii="Arial" w:cs="Arial" w:eastAsia="Arial" w:hAnsi="Arial"/>
          <w:b w:val="1"/>
          <w:bCs w:val="1"/>
          <w:color w:val="000000"/>
          <w:sz w:val="24"/>
          <w:szCs w:val="24"/>
          <w:u w:val="single"/>
          <w:rtl w:val="0"/>
        </w:rPr>
        <w:t xml:space="preserve">REZERVAČNÍ SMLOUVA</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Smluvní strany: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Budoucí prodávající:</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ind w:left="720" w:firstLine="0"/>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ind w:left="720" w:firstLine="0"/>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PKRT Reality s.r.o. </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ind w:left="70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 sídlem Nad koupadly 805/9, Lhotka, 142 00 Praha 4</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ind w:left="70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IČO: 23512199 </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ind w:left="70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zapsaná v obchodním rejstříku vedeném Městským soudem v Praze pod spis. zn. C 428427</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ind w:left="708" w:firstLine="0"/>
        <w:jc w:val="both"/>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zastoupená Ing. Pavlem Kopečným, jednatelem společnosti</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ind w:left="70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email: </w:t>
      </w:r>
      <w:hyperlink r:id="rId7">
        <w:r w:rsidDel="00000000" w:rsidR="00000000" w:rsidRPr="00000000">
          <w:rPr>
            <w:rFonts w:ascii="Arial" w:cs="Arial" w:eastAsia="Arial" w:hAnsi="Arial"/>
            <w:color w:val="0563c1"/>
            <w:sz w:val="20"/>
            <w:szCs w:val="20"/>
            <w:u w:val="single"/>
            <w:rtl w:val="0"/>
          </w:rPr>
          <w:t xml:space="preserve">pkrt.reality@gmail.com</w:t>
        </w:r>
      </w:hyperlink>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ind w:left="360" w:firstLine="348"/>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dále jen jako „</w:t>
      </w:r>
      <w:r w:rsidDel="00000000" w:rsidR="00000000" w:rsidRPr="00000000">
        <w:rPr>
          <w:rFonts w:ascii="Arial" w:cs="Arial" w:eastAsia="Arial" w:hAnsi="Arial"/>
          <w:b w:val="1"/>
          <w:bCs w:val="1"/>
          <w:color w:val="000000"/>
          <w:sz w:val="20"/>
          <w:szCs w:val="20"/>
          <w:rtl w:val="0"/>
        </w:rPr>
        <w:t xml:space="preserve">Budoucí prodávající</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ab/>
        <w:t xml:space="preserve">a</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12">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Obchodní společnost/manželé/zájemce(i):</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4">
      <w:pPr>
        <w:spacing w:after="0" w:line="240" w:lineRule="auto"/>
        <w:ind w:left="720" w:firstLine="0"/>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pan/í </w:t>
      </w:r>
      <w:r w:rsidDel="00000000" w:rsidR="00000000" w:rsidRPr="00000000">
        <w:rPr>
          <w:rFonts w:ascii="Arial" w:cs="Arial" w:eastAsia="Arial" w:hAnsi="Arial"/>
          <w:b w:val="1"/>
          <w:bCs w:val="1"/>
          <w:color w:val="000000"/>
          <w:sz w:val="20"/>
          <w:szCs w:val="20"/>
          <w:highlight w:val="yellow"/>
          <w:rtl w:val="0"/>
        </w:rPr>
        <w:t xml:space="preserve">(  )</w:t>
      </w:r>
      <w:r w:rsidDel="00000000" w:rsidR="00000000" w:rsidRPr="00000000">
        <w:rPr>
          <w:rFonts w:ascii="Arial" w:cs="Arial" w:eastAsia="Arial" w:hAnsi="Arial"/>
          <w:b w:val="1"/>
          <w:bCs w:val="1"/>
          <w:sz w:val="20"/>
          <w:szCs w:val="20"/>
          <w:rtl w:val="0"/>
        </w:rPr>
        <w:t xml:space="preserve"> </w:t>
      </w:r>
    </w:p>
    <w:p w:rsidR="00000000" w:rsidDel="00000000" w:rsidP="00000000" w:rsidRDefault="00000000" w:rsidRPr="00000000" w14:paraId="00000015">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r.č./nar.</w:t>
        <w:tab/>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ab/>
        <w:tab/>
        <w:tab/>
      </w:r>
    </w:p>
    <w:p w:rsidR="00000000" w:rsidDel="00000000" w:rsidP="00000000" w:rsidRDefault="00000000" w:rsidRPr="00000000" w14:paraId="00000016">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bytem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ab/>
        <w:tab/>
        <w:tab/>
        <w:tab/>
        <w:t xml:space="preserve"> </w:t>
      </w:r>
    </w:p>
    <w:p w:rsidR="00000000" w:rsidDel="00000000" w:rsidP="00000000" w:rsidRDefault="00000000" w:rsidRPr="00000000" w14:paraId="00000017">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zastoupen/a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 xml:space="preserve"> dle plné moci ze dne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tl w:val="0"/>
        </w:rPr>
      </w:r>
    </w:p>
    <w:p w:rsidR="00000000" w:rsidDel="00000000" w:rsidP="00000000" w:rsidRDefault="00000000" w:rsidRPr="00000000" w14:paraId="00000018">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tl w:val="0"/>
        </w:rPr>
      </w:r>
    </w:p>
    <w:p w:rsidR="00000000" w:rsidDel="00000000" w:rsidP="00000000" w:rsidRDefault="00000000" w:rsidRPr="00000000" w14:paraId="00000019">
      <w:pPr>
        <w:spacing w:after="0" w:line="240" w:lineRule="auto"/>
        <w:ind w:left="72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w:t>
      </w:r>
    </w:p>
    <w:p w:rsidR="00000000" w:rsidDel="00000000" w:rsidP="00000000" w:rsidRDefault="00000000" w:rsidRPr="00000000" w14:paraId="0000001A">
      <w:pPr>
        <w:spacing w:after="0" w:line="240" w:lineRule="auto"/>
        <w:ind w:left="720" w:firstLine="0"/>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pan/í </w:t>
      </w:r>
      <w:r w:rsidDel="00000000" w:rsidR="00000000" w:rsidRPr="00000000">
        <w:rPr>
          <w:rFonts w:ascii="Arial" w:cs="Arial" w:eastAsia="Arial" w:hAnsi="Arial"/>
          <w:b w:val="1"/>
          <w:bCs w:val="1"/>
          <w:color w:val="000000"/>
          <w:sz w:val="20"/>
          <w:szCs w:val="20"/>
          <w:highlight w:val="yellow"/>
          <w:rtl w:val="0"/>
        </w:rPr>
        <w:t xml:space="preserve">(  )</w:t>
      </w:r>
      <w:r w:rsidDel="00000000" w:rsidR="00000000" w:rsidRPr="00000000">
        <w:rPr>
          <w:rFonts w:ascii="Arial" w:cs="Arial" w:eastAsia="Arial" w:hAnsi="Arial"/>
          <w:b w:val="1"/>
          <w:bCs w:val="1"/>
          <w:sz w:val="20"/>
          <w:szCs w:val="20"/>
          <w:rtl w:val="0"/>
        </w:rPr>
        <w:t xml:space="preserve"> </w:t>
      </w:r>
    </w:p>
    <w:p w:rsidR="00000000" w:rsidDel="00000000" w:rsidP="00000000" w:rsidRDefault="00000000" w:rsidRPr="00000000" w14:paraId="0000001B">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r.č./nar.</w:t>
        <w:tab/>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ab/>
        <w:tab/>
        <w:tab/>
      </w:r>
    </w:p>
    <w:p w:rsidR="00000000" w:rsidDel="00000000" w:rsidP="00000000" w:rsidRDefault="00000000" w:rsidRPr="00000000" w14:paraId="0000001C">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bytem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ab/>
        <w:tab/>
        <w:tab/>
        <w:tab/>
        <w:t xml:space="preserve"> </w:t>
      </w:r>
    </w:p>
    <w:p w:rsidR="00000000" w:rsidDel="00000000" w:rsidP="00000000" w:rsidRDefault="00000000" w:rsidRPr="00000000" w14:paraId="0000001D">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zastoupen/a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 xml:space="preserve"> dle plné moci ze dne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tl w:val="0"/>
        </w:rPr>
      </w:r>
    </w:p>
    <w:p w:rsidR="00000000" w:rsidDel="00000000" w:rsidP="00000000" w:rsidRDefault="00000000" w:rsidRPr="00000000" w14:paraId="0000001E">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nebo</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2">
      <w:pPr>
        <w:spacing w:after="0" w:line="240" w:lineRule="auto"/>
        <w:ind w:left="720" w:firstLine="0"/>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společnost </w:t>
      </w:r>
      <w:r w:rsidDel="00000000" w:rsidR="00000000" w:rsidRPr="00000000">
        <w:rPr>
          <w:rFonts w:ascii="Arial" w:cs="Arial" w:eastAsia="Arial" w:hAnsi="Arial"/>
          <w:b w:val="1"/>
          <w:bCs w:val="1"/>
          <w:color w:val="000000"/>
          <w:sz w:val="20"/>
          <w:szCs w:val="20"/>
          <w:highlight w:val="yellow"/>
          <w:rtl w:val="0"/>
        </w:rPr>
        <w:t xml:space="preserve">(  )</w:t>
      </w:r>
      <w:r w:rsidDel="00000000" w:rsidR="00000000" w:rsidRPr="00000000">
        <w:rPr>
          <w:rFonts w:ascii="Arial" w:cs="Arial" w:eastAsia="Arial" w:hAnsi="Arial"/>
          <w:b w:val="1"/>
          <w:bCs w:val="1"/>
          <w:sz w:val="20"/>
          <w:szCs w:val="20"/>
          <w:rtl w:val="0"/>
        </w:rPr>
        <w:t xml:space="preserve"> </w:t>
      </w:r>
    </w:p>
    <w:p w:rsidR="00000000" w:rsidDel="00000000" w:rsidP="00000000" w:rsidRDefault="00000000" w:rsidRPr="00000000" w14:paraId="00000023">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IČO: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ab/>
        <w:tab/>
        <w:tab/>
        <w:tab/>
      </w:r>
    </w:p>
    <w:p w:rsidR="00000000" w:rsidDel="00000000" w:rsidP="00000000" w:rsidRDefault="00000000" w:rsidRPr="00000000" w14:paraId="00000024">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Sídlo: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ab/>
        <w:tab/>
        <w:tab/>
      </w:r>
    </w:p>
    <w:p w:rsidR="00000000" w:rsidDel="00000000" w:rsidP="00000000" w:rsidRDefault="00000000" w:rsidRPr="00000000" w14:paraId="00000025">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zapsaná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26">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zastoupena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ab/>
        <w:t xml:space="preserve">jednatel / předseda představenstva / člen představenstva</w:t>
      </w:r>
    </w:p>
    <w:p w:rsidR="00000000" w:rsidDel="00000000" w:rsidP="00000000" w:rsidRDefault="00000000" w:rsidRPr="00000000" w14:paraId="00000027">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ind w:firstLine="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240" w:lineRule="auto"/>
        <w:ind w:left="70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dále jen jako „</w:t>
      </w:r>
      <w:r w:rsidDel="00000000" w:rsidR="00000000" w:rsidRPr="00000000">
        <w:rPr>
          <w:rFonts w:ascii="Arial" w:cs="Arial" w:eastAsia="Arial" w:hAnsi="Arial"/>
          <w:b w:val="1"/>
          <w:bCs w:val="1"/>
          <w:color w:val="000000"/>
          <w:sz w:val="20"/>
          <w:szCs w:val="20"/>
          <w:rtl w:val="0"/>
        </w:rPr>
        <w:t xml:space="preserve">Zájemce</w:t>
      </w:r>
      <w:r w:rsidDel="00000000" w:rsidR="00000000" w:rsidRPr="00000000">
        <w:rPr>
          <w:rFonts w:ascii="Arial" w:cs="Arial" w:eastAsia="Arial" w:hAnsi="Arial"/>
          <w:color w:val="000000"/>
          <w:sz w:val="20"/>
          <w:szCs w:val="20"/>
          <w:rtl w:val="0"/>
        </w:rPr>
        <w:t xml:space="preserve">“ (je-li účastníků na této smluvní straně více, pak platí, že jsou zavázáni společně a nerozdílně), </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dále společně také jen jako „</w:t>
      </w:r>
      <w:r w:rsidDel="00000000" w:rsidR="00000000" w:rsidRPr="00000000">
        <w:rPr>
          <w:rFonts w:ascii="Arial" w:cs="Arial" w:eastAsia="Arial" w:hAnsi="Arial"/>
          <w:b w:val="1"/>
          <w:bCs w:val="1"/>
          <w:color w:val="000000"/>
          <w:sz w:val="20"/>
          <w:szCs w:val="20"/>
          <w:rtl w:val="0"/>
        </w:rPr>
        <w:t xml:space="preserve">Smluvní strany</w:t>
      </w:r>
      <w:r w:rsidDel="00000000" w:rsidR="00000000" w:rsidRPr="00000000">
        <w:rPr>
          <w:rFonts w:ascii="Arial" w:cs="Arial" w:eastAsia="Arial" w:hAnsi="Arial"/>
          <w:color w:val="000000"/>
          <w:sz w:val="20"/>
          <w:szCs w:val="20"/>
          <w:rtl w:val="0"/>
        </w:rPr>
        <w:t xml:space="preserve">“ či jednotlivě „</w:t>
      </w:r>
      <w:r w:rsidDel="00000000" w:rsidR="00000000" w:rsidRPr="00000000">
        <w:rPr>
          <w:rFonts w:ascii="Arial" w:cs="Arial" w:eastAsia="Arial" w:hAnsi="Arial"/>
          <w:b w:val="1"/>
          <w:bCs w:val="1"/>
          <w:color w:val="000000"/>
          <w:sz w:val="20"/>
          <w:szCs w:val="20"/>
          <w:rtl w:val="0"/>
        </w:rPr>
        <w:t xml:space="preserve">Smluvní strana</w:t>
      </w:r>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uzavírají v souladu s ustanovením § 1746 odst. 2 zákona č. 89/2012 Sb., občanský zákoník, tuto smlouvu o rezervaci nemovité věci (dále jen „</w:t>
      </w:r>
      <w:r w:rsidDel="00000000" w:rsidR="00000000" w:rsidRPr="00000000">
        <w:rPr>
          <w:rFonts w:ascii="Arial" w:cs="Arial" w:eastAsia="Arial" w:hAnsi="Arial"/>
          <w:b w:val="1"/>
          <w:bCs w:val="1"/>
          <w:color w:val="000000"/>
          <w:sz w:val="20"/>
          <w:szCs w:val="20"/>
          <w:rtl w:val="0"/>
        </w:rPr>
        <w:t xml:space="preserve">Smlouva</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Článek I.</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Úvodní ustanovení</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3">
      <w:pPr>
        <w:numPr>
          <w:ilvl w:val="0"/>
          <w:numId w:val="7"/>
        </w:numPr>
        <w:pBdr>
          <w:top w:space="0" w:sz="0" w:val="nil"/>
          <w:left w:space="0" w:sz="0" w:val="nil"/>
          <w:bottom w:space="0" w:sz="0" w:val="nil"/>
          <w:right w:space="0" w:sz="0" w:val="nil"/>
          <w:between w:space="0" w:sz="0" w:val="nil"/>
        </w:pBdr>
        <w:tabs>
          <w:tab w:val="left" w:leader="none" w:pos="180"/>
        </w:tabs>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Smluvní strany prohlašují, že jsou oprávněny tuto Smlouvu uzavřít a že jsou schopny plnit závazky v ní sjednané.</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180"/>
        </w:tabs>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5">
      <w:pPr>
        <w:numPr>
          <w:ilvl w:val="0"/>
          <w:numId w:val="7"/>
        </w:numPr>
        <w:pBdr>
          <w:top w:space="0" w:sz="0" w:val="nil"/>
          <w:left w:space="0" w:sz="0" w:val="nil"/>
          <w:bottom w:space="0" w:sz="0" w:val="nil"/>
          <w:right w:space="0" w:sz="0" w:val="nil"/>
          <w:between w:space="0" w:sz="0" w:val="nil"/>
        </w:pBdr>
        <w:tabs>
          <w:tab w:val="left" w:leader="none" w:pos="180"/>
        </w:tabs>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Prodávající prohlašuje, že je výlučným vlastníkem níže specifikovaných nemovitých věcí, a to: </w:t>
      </w:r>
    </w:p>
    <w:p w:rsidR="00000000" w:rsidDel="00000000" w:rsidP="00000000" w:rsidRDefault="00000000" w:rsidRPr="00000000" w14:paraId="00000036">
      <w:pPr>
        <w:spacing w:after="0" w:line="240" w:lineRule="auto"/>
        <w:ind w:left="426"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7">
      <w:pPr>
        <w:numPr>
          <w:ilvl w:val="0"/>
          <w:numId w:val="5"/>
        </w:numPr>
        <w:pBdr>
          <w:top w:space="0" w:sz="0" w:val="nil"/>
          <w:left w:space="0" w:sz="0" w:val="nil"/>
          <w:bottom w:space="0" w:sz="0" w:val="nil"/>
          <w:right w:space="0" w:sz="0" w:val="nil"/>
          <w:between w:space="0" w:sz="0" w:val="nil"/>
        </w:pBdr>
        <w:spacing w:after="0" w:line="240" w:lineRule="auto"/>
        <w:ind w:left="851" w:hanging="360"/>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pozemku parc. č. st. 260</w:t>
      </w:r>
      <w:r w:rsidDel="00000000" w:rsidR="00000000" w:rsidRPr="00000000">
        <w:rPr>
          <w:rFonts w:ascii="Arial" w:cs="Arial" w:eastAsia="Arial" w:hAnsi="Arial"/>
          <w:color w:val="000000"/>
          <w:sz w:val="20"/>
          <w:szCs w:val="20"/>
          <w:rtl w:val="0"/>
        </w:rPr>
        <w:t xml:space="preserve">, o výměře 855 m2, zastavěná plocha a nádvoří (dále samostatně jen jako „</w:t>
      </w:r>
      <w:r w:rsidDel="00000000" w:rsidR="00000000" w:rsidRPr="00000000">
        <w:rPr>
          <w:rFonts w:ascii="Arial" w:cs="Arial" w:eastAsia="Arial" w:hAnsi="Arial"/>
          <w:b w:val="1"/>
          <w:bCs w:val="1"/>
          <w:color w:val="000000"/>
          <w:sz w:val="20"/>
          <w:szCs w:val="20"/>
          <w:rtl w:val="0"/>
        </w:rPr>
        <w:t xml:space="preserve">Pozemek</w:t>
      </w:r>
      <w:r w:rsidDel="00000000" w:rsidR="00000000" w:rsidRPr="00000000">
        <w:rPr>
          <w:rFonts w:ascii="Arial" w:cs="Arial" w:eastAsia="Arial" w:hAnsi="Arial"/>
          <w:color w:val="000000"/>
          <w:sz w:val="20"/>
          <w:szCs w:val="20"/>
          <w:rtl w:val="0"/>
        </w:rPr>
        <w:t xml:space="preserve">“), jehož součástí je stavba č.p. 378, způsob využití: víceúčelová stavba (dále samostatně jen jako „</w:t>
      </w:r>
      <w:r w:rsidDel="00000000" w:rsidR="00000000" w:rsidRPr="00000000">
        <w:rPr>
          <w:rFonts w:ascii="Arial" w:cs="Arial" w:eastAsia="Arial" w:hAnsi="Arial"/>
          <w:b w:val="1"/>
          <w:bCs w:val="1"/>
          <w:color w:val="000000"/>
          <w:sz w:val="20"/>
          <w:szCs w:val="20"/>
          <w:rtl w:val="0"/>
        </w:rPr>
        <w:t xml:space="preserve">Budova</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38">
      <w:pPr>
        <w:numPr>
          <w:ilvl w:val="0"/>
          <w:numId w:val="5"/>
        </w:numPr>
        <w:pBdr>
          <w:top w:space="0" w:sz="0" w:val="nil"/>
          <w:left w:space="0" w:sz="0" w:val="nil"/>
          <w:bottom w:space="0" w:sz="0" w:val="nil"/>
          <w:right w:space="0" w:sz="0" w:val="nil"/>
          <w:between w:space="0" w:sz="0" w:val="nil"/>
        </w:pBdr>
        <w:spacing w:after="0" w:line="240" w:lineRule="auto"/>
        <w:ind w:left="851" w:hanging="360"/>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pozemku parc. č. 1990</w:t>
      </w:r>
      <w:r w:rsidDel="00000000" w:rsidR="00000000" w:rsidRPr="00000000">
        <w:rPr>
          <w:rFonts w:ascii="Arial" w:cs="Arial" w:eastAsia="Arial" w:hAnsi="Arial"/>
          <w:color w:val="000000"/>
          <w:sz w:val="20"/>
          <w:szCs w:val="20"/>
          <w:rtl w:val="0"/>
        </w:rPr>
        <w:t xml:space="preserve">, o výměře 267 m2, zahrada, způsob ochrany: zemědělský půdní fond (dále samostatně jen jako „</w:t>
      </w:r>
      <w:r w:rsidDel="00000000" w:rsidR="00000000" w:rsidRPr="00000000">
        <w:rPr>
          <w:rFonts w:ascii="Arial" w:cs="Arial" w:eastAsia="Arial" w:hAnsi="Arial"/>
          <w:b w:val="1"/>
          <w:bCs w:val="1"/>
          <w:color w:val="000000"/>
          <w:sz w:val="20"/>
          <w:szCs w:val="20"/>
          <w:rtl w:val="0"/>
        </w:rPr>
        <w:t xml:space="preserve">Související pozemek</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39">
      <w:pPr>
        <w:spacing w:after="0" w:line="240" w:lineRule="auto"/>
        <w:ind w:left="708"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A">
      <w:pPr>
        <w:spacing w:after="0" w:line="240" w:lineRule="auto"/>
        <w:ind w:left="426"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vše zapsáno v katastru nemovitostí vedeném Katastrálním úřadem pro Středočeský kraj, Katastrální pracoviště Slaný (dále jen „</w:t>
      </w:r>
      <w:r w:rsidDel="00000000" w:rsidR="00000000" w:rsidRPr="00000000">
        <w:rPr>
          <w:rFonts w:ascii="Arial" w:cs="Arial" w:eastAsia="Arial" w:hAnsi="Arial"/>
          <w:b w:val="1"/>
          <w:bCs w:val="1"/>
          <w:sz w:val="20"/>
          <w:szCs w:val="20"/>
          <w:rtl w:val="0"/>
        </w:rPr>
        <w:t xml:space="preserve">Katastrální úřad</w:t>
      </w:r>
      <w:r w:rsidDel="00000000" w:rsidR="00000000" w:rsidRPr="00000000">
        <w:rPr>
          <w:rFonts w:ascii="Arial" w:cs="Arial" w:eastAsia="Arial" w:hAnsi="Arial"/>
          <w:sz w:val="20"/>
          <w:szCs w:val="20"/>
          <w:rtl w:val="0"/>
        </w:rPr>
        <w:t xml:space="preserve">“), na listu vlastnictví č. 1048 pro katastrální území Velvary, obec Velvary, okres Kladno. List vlastnictví č. 1048 pro katastrální území Velvary, obec Velvary, okres Kladno je nedílnou součástí této Smlouvy jako její </w:t>
      </w:r>
      <w:r w:rsidDel="00000000" w:rsidR="00000000" w:rsidRPr="00000000">
        <w:rPr>
          <w:rFonts w:ascii="Arial" w:cs="Arial" w:eastAsia="Arial" w:hAnsi="Arial"/>
          <w:sz w:val="20"/>
          <w:szCs w:val="20"/>
          <w:u w:val="single"/>
          <w:rtl w:val="0"/>
        </w:rPr>
        <w:t xml:space="preserve">Příloha č. 1</w:t>
      </w:r>
      <w:r w:rsidDel="00000000" w:rsidR="00000000" w:rsidRPr="00000000">
        <w:rPr>
          <w:rFonts w:ascii="Arial" w:cs="Arial" w:eastAsia="Arial" w:hAnsi="Arial"/>
          <w:sz w:val="20"/>
          <w:szCs w:val="20"/>
          <w:rtl w:val="0"/>
        </w:rPr>
        <w:t xml:space="preserve">. Uvedené nemovité věci budou pro účely této Smlouvy dále společně označovány jen jako „</w:t>
      </w:r>
      <w:r w:rsidDel="00000000" w:rsidR="00000000" w:rsidRPr="00000000">
        <w:rPr>
          <w:rFonts w:ascii="Arial" w:cs="Arial" w:eastAsia="Arial" w:hAnsi="Arial"/>
          <w:b w:val="1"/>
          <w:bCs w:val="1"/>
          <w:sz w:val="20"/>
          <w:szCs w:val="20"/>
          <w:rtl w:val="0"/>
        </w:rPr>
        <w:t xml:space="preserve">Nemovitosti</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3B">
      <w:pPr>
        <w:spacing w:after="0" w:line="240" w:lineRule="auto"/>
        <w:ind w:left="708"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C">
      <w:pPr>
        <w:numPr>
          <w:ilvl w:val="0"/>
          <w:numId w:val="7"/>
        </w:numPr>
        <w:pBdr>
          <w:top w:space="0" w:sz="0" w:val="nil"/>
          <w:left w:space="0" w:sz="0" w:val="nil"/>
          <w:bottom w:space="0" w:sz="0" w:val="nil"/>
          <w:right w:space="0" w:sz="0" w:val="nil"/>
          <w:between w:space="0" w:sz="0" w:val="nil"/>
        </w:pBdr>
        <w:tabs>
          <w:tab w:val="left" w:leader="none" w:pos="180"/>
        </w:tabs>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Budoucí prodávající prohlašuje, že má zájem na Nemovitostech realizovat projekt s názvem „</w:t>
      </w:r>
      <w:r w:rsidDel="00000000" w:rsidR="00000000" w:rsidRPr="00000000">
        <w:rPr>
          <w:rFonts w:ascii="Arial" w:cs="Arial" w:eastAsia="Arial" w:hAnsi="Arial"/>
          <w:b w:val="1"/>
          <w:bCs w:val="1"/>
          <w:color w:val="000000"/>
          <w:sz w:val="20"/>
          <w:szCs w:val="20"/>
          <w:rtl w:val="0"/>
        </w:rPr>
        <w:t xml:space="preserve">Byty Javorový Dvůr</w:t>
      </w:r>
      <w:r w:rsidDel="00000000" w:rsidR="00000000" w:rsidRPr="00000000">
        <w:rPr>
          <w:rFonts w:ascii="Arial" w:cs="Arial" w:eastAsia="Arial" w:hAnsi="Arial"/>
          <w:color w:val="000000"/>
          <w:sz w:val="20"/>
          <w:szCs w:val="20"/>
          <w:rtl w:val="0"/>
        </w:rPr>
        <w:t xml:space="preserve">“, spočívající v</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000000"/>
          <w:sz w:val="20"/>
          <w:szCs w:val="20"/>
          <w:rtl w:val="0"/>
        </w:rPr>
        <w:t xml:space="preserve">p</w:t>
      </w:r>
      <w:r w:rsidDel="00000000" w:rsidR="00000000" w:rsidRPr="00000000">
        <w:rPr>
          <w:rFonts w:ascii="Arial" w:cs="Arial" w:eastAsia="Arial" w:hAnsi="Arial"/>
          <w:sz w:val="20"/>
          <w:szCs w:val="20"/>
          <w:rtl w:val="0"/>
        </w:rPr>
        <w:t xml:space="preserve">řestavbě a rozšíření víceúčelové budovy Chržínská 378, Velvary na bytový dům včetně vytvoření parkovacích stání</w:t>
      </w:r>
      <w:r w:rsidDel="00000000" w:rsidR="00000000" w:rsidRPr="00000000">
        <w:rPr>
          <w:rFonts w:ascii="Arial" w:cs="Arial" w:eastAsia="Arial" w:hAnsi="Arial"/>
          <w:color w:val="000000"/>
          <w:sz w:val="20"/>
          <w:szCs w:val="20"/>
          <w:rtl w:val="0"/>
        </w:rPr>
        <w:t xml:space="preserve">. Budoucí prodávající za tím účelem požádal o vydání stavebního povolení. </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180"/>
        </w:tabs>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E">
      <w:pPr>
        <w:numPr>
          <w:ilvl w:val="0"/>
          <w:numId w:val="7"/>
        </w:numPr>
        <w:pBdr>
          <w:top w:space="0" w:sz="0" w:val="nil"/>
          <w:left w:space="0" w:sz="0" w:val="nil"/>
          <w:bottom w:space="0" w:sz="0" w:val="nil"/>
          <w:right w:space="0" w:sz="0" w:val="nil"/>
          <w:between w:space="0" w:sz="0" w:val="nil"/>
        </w:pBdr>
        <w:tabs>
          <w:tab w:val="left" w:leader="none" w:pos="180"/>
        </w:tabs>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Předpokládaný termín dokončení projektu „Byty Javorový Dvůr“ včetně vydání příslušného kolaudačního rozhodnutí je </w:t>
      </w:r>
      <w:r w:rsidDel="00000000" w:rsidR="00000000" w:rsidRPr="00000000">
        <w:rPr>
          <w:rFonts w:ascii="Arial" w:cs="Arial" w:eastAsia="Arial" w:hAnsi="Arial"/>
          <w:b w:val="1"/>
          <w:bCs w:val="1"/>
          <w:color w:val="000000"/>
          <w:sz w:val="20"/>
          <w:szCs w:val="20"/>
          <w:rtl w:val="0"/>
        </w:rPr>
        <w:t xml:space="preserve">1.4.202</w:t>
      </w:r>
      <w:r w:rsidDel="00000000" w:rsidR="00000000" w:rsidRPr="00000000">
        <w:rPr>
          <w:rFonts w:ascii="Arial" w:cs="Arial" w:eastAsia="Arial" w:hAnsi="Arial"/>
          <w:b w:val="1"/>
          <w:bCs w:val="1"/>
          <w:sz w:val="20"/>
          <w:szCs w:val="20"/>
          <w:rtl w:val="0"/>
        </w:rPr>
        <w:t xml:space="preserve">7 - </w:t>
      </w:r>
      <w:r w:rsidDel="00000000" w:rsidR="00000000" w:rsidRPr="00000000">
        <w:rPr>
          <w:rFonts w:ascii="Arial" w:cs="Arial" w:eastAsia="Arial" w:hAnsi="Arial"/>
          <w:b w:val="1"/>
          <w:bCs w:val="1"/>
          <w:color w:val="000000"/>
          <w:sz w:val="20"/>
          <w:szCs w:val="20"/>
          <w:rtl w:val="0"/>
        </w:rPr>
        <w:t xml:space="preserve">30.6.2027</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180"/>
        </w:tabs>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0">
      <w:pPr>
        <w:numPr>
          <w:ilvl w:val="0"/>
          <w:numId w:val="7"/>
        </w:numPr>
        <w:pBdr>
          <w:top w:space="0" w:sz="0" w:val="nil"/>
          <w:left w:space="0" w:sz="0" w:val="nil"/>
          <w:bottom w:space="0" w:sz="0" w:val="nil"/>
          <w:right w:space="0" w:sz="0" w:val="nil"/>
          <w:between w:space="0" w:sz="0" w:val="nil"/>
        </w:pBdr>
        <w:tabs>
          <w:tab w:val="left" w:leader="none" w:pos="180"/>
        </w:tabs>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Budoucí prodávající po dokončení projektu „Byty Javorový Dvůr“ učiní prohlášení ve smyslu ust. § 1166 občanského zákoníku, kterým rozdělí práva k Nemovitostem, na vlastnické právo k rozestavěným jednotkám, vymezí společné části nemovité věci a práva a povinnosti s nimi související (dále jen „</w:t>
      </w:r>
      <w:r w:rsidDel="00000000" w:rsidR="00000000" w:rsidRPr="00000000">
        <w:rPr>
          <w:rFonts w:ascii="Arial" w:cs="Arial" w:eastAsia="Arial" w:hAnsi="Arial"/>
          <w:b w:val="1"/>
          <w:bCs w:val="1"/>
          <w:color w:val="000000"/>
          <w:sz w:val="20"/>
          <w:szCs w:val="20"/>
          <w:rtl w:val="0"/>
        </w:rPr>
        <w:t xml:space="preserve">Prohlášení vlastníka</w:t>
      </w:r>
      <w:r w:rsidDel="00000000" w:rsidR="00000000" w:rsidRPr="00000000">
        <w:rPr>
          <w:rFonts w:ascii="Arial" w:cs="Arial" w:eastAsia="Arial" w:hAnsi="Arial"/>
          <w:color w:val="000000"/>
          <w:sz w:val="20"/>
          <w:szCs w:val="20"/>
          <w:rtl w:val="0"/>
        </w:rPr>
        <w:t xml:space="preserve">“), a podá návrh vklad Prohlášení vlastníka do katastru nemovitostí vedeného Katastrálním úřadem. </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180"/>
        </w:tabs>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180"/>
        </w:tabs>
        <w:spacing w:after="0" w:line="240" w:lineRule="auto"/>
        <w:ind w:left="426"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Zájemce je srozuměn s tím, že v průběhu realizace projektu „Byty Javorový Dvůr“ či v souvislosti se zápisem Prohlášení vlastníka do katastru nemovitostí či jeho změnou dojde či může dojít ke změně způsobu využití budovy, ke změně označení pozemkových parcel, na kterých je projekt realizován, ke změně velikosti jejich plochy či jejich druhu a využití, a to z důvodu dělení či sloučení pozemků dle skutečného prostorového rozložení projektu v daném místě. Zájemce je dále srozuměn s tím, že některé části Nemovitostí </w:t>
      </w:r>
      <w:r w:rsidDel="00000000" w:rsidR="00000000" w:rsidRPr="00000000">
        <w:rPr>
          <w:rFonts w:ascii="Arial" w:cs="Arial" w:eastAsia="Arial" w:hAnsi="Arial"/>
          <w:sz w:val="20"/>
          <w:szCs w:val="20"/>
          <w:rtl w:val="0"/>
        </w:rPr>
        <w:t xml:space="preserve">nemusí</w:t>
      </w:r>
      <w:r w:rsidDel="00000000" w:rsidR="00000000" w:rsidRPr="00000000">
        <w:rPr>
          <w:rFonts w:ascii="Arial" w:cs="Arial" w:eastAsia="Arial" w:hAnsi="Arial"/>
          <w:color w:val="000000"/>
          <w:sz w:val="20"/>
          <w:szCs w:val="20"/>
          <w:rtl w:val="0"/>
        </w:rPr>
        <w:t xml:space="preserve"> být vymezeny jako společná část, jakož i s tím, že některé části Nemovitostí mohou být určeny k výlučnému užívání vlastníkům určitých jednotek (např. balkony) nebo mohou být společné jen vlastníkům některých jednotek.</w:t>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180"/>
        </w:tabs>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4">
      <w:pPr>
        <w:numPr>
          <w:ilvl w:val="0"/>
          <w:numId w:val="7"/>
        </w:numPr>
        <w:pBdr>
          <w:top w:space="0" w:sz="0" w:val="nil"/>
          <w:left w:space="0" w:sz="0" w:val="nil"/>
          <w:bottom w:space="0" w:sz="0" w:val="nil"/>
          <w:right w:space="0" w:sz="0" w:val="nil"/>
          <w:between w:space="0" w:sz="0" w:val="nil"/>
        </w:pBdr>
        <w:tabs>
          <w:tab w:val="left" w:leader="none" w:pos="180"/>
        </w:tabs>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Zájemce prohlašuje, že byl před podpisem této Smlouvy Budoucím prodávajícím seznámen s projektem „Byty Javorový Dvůr“, jakož i s právním a faktickým stavem Nemovitostí. Zájemce byl taktéž seznámen s fází, v jaké se realizace projektu „Byty Javorový Dvůr“ nachází a dále skutečnostmi uvedenými v této Smlouvě. K uvedenému nemá Zájemce žádné výhrady ani připomínky.</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Článek II.</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Předmět Smlouvy </w:t>
      </w:r>
    </w:p>
    <w:p w:rsidR="00000000" w:rsidDel="00000000" w:rsidP="00000000" w:rsidRDefault="00000000" w:rsidRPr="00000000" w14:paraId="00000048">
      <w:pPr>
        <w:spacing w:after="0" w:line="240" w:lineRule="auto"/>
        <w:ind w:left="426"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49">
      <w:pPr>
        <w:numPr>
          <w:ilvl w:val="0"/>
          <w:numId w:val="8"/>
        </w:numPr>
        <w:spacing w:after="0" w:line="240" w:lineRule="auto"/>
        <w:ind w:left="426" w:hanging="360"/>
        <w:jc w:val="both"/>
        <w:rPr>
          <w:rFonts w:ascii="Arial" w:cs="Arial" w:eastAsia="Arial" w:hAnsi="Arial"/>
        </w:rPr>
      </w:pPr>
      <w:r w:rsidDel="00000000" w:rsidR="00000000" w:rsidRPr="00000000">
        <w:rPr>
          <w:rFonts w:ascii="Arial" w:cs="Arial" w:eastAsia="Arial" w:hAnsi="Arial"/>
          <w:color w:val="000000"/>
          <w:sz w:val="20"/>
          <w:szCs w:val="20"/>
          <w:rtl w:val="0"/>
        </w:rPr>
        <w:t xml:space="preserve">Zájemce má zájem na uzavření smlouvy o uzavření budoucí kupní smlouvy mezi Budoucím prodávajícím jako budoucím prodávajícím a Zájemcem jako budoucím kupujícím (dále jen „</w:t>
      </w:r>
      <w:r w:rsidDel="00000000" w:rsidR="00000000" w:rsidRPr="00000000">
        <w:rPr>
          <w:rFonts w:ascii="Arial" w:cs="Arial" w:eastAsia="Arial" w:hAnsi="Arial"/>
          <w:b w:val="1"/>
          <w:bCs w:val="1"/>
          <w:color w:val="000000"/>
          <w:sz w:val="20"/>
          <w:szCs w:val="20"/>
          <w:rtl w:val="0"/>
        </w:rPr>
        <w:t xml:space="preserve">SOSBK</w:t>
      </w:r>
      <w:r w:rsidDel="00000000" w:rsidR="00000000" w:rsidRPr="00000000">
        <w:rPr>
          <w:rFonts w:ascii="Arial" w:cs="Arial" w:eastAsia="Arial" w:hAnsi="Arial"/>
          <w:color w:val="000000"/>
          <w:sz w:val="20"/>
          <w:szCs w:val="20"/>
          <w:rtl w:val="0"/>
        </w:rPr>
        <w:t xml:space="preserve">“), která se bude týkat dále specifikovaného Budoucího předmětu převodu:</w:t>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180"/>
        </w:tabs>
        <w:spacing w:after="0" w:line="240" w:lineRule="auto"/>
        <w:ind w:left="720" w:hanging="18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B">
      <w:pPr>
        <w:numPr>
          <w:ilvl w:val="0"/>
          <w:numId w:val="9"/>
        </w:numPr>
        <w:pBdr>
          <w:top w:space="0" w:sz="0" w:val="nil"/>
          <w:left w:space="0" w:sz="0" w:val="nil"/>
          <w:bottom w:space="0" w:sz="0" w:val="nil"/>
          <w:right w:space="0" w:sz="0" w:val="nil"/>
          <w:between w:space="0" w:sz="0" w:val="nil"/>
        </w:pBdr>
        <w:spacing w:after="0" w:line="240" w:lineRule="auto"/>
        <w:ind w:left="851" w:hanging="426"/>
        <w:jc w:val="both"/>
        <w:rPr>
          <w:rFonts w:ascii="Arial" w:cs="Arial" w:eastAsia="Arial" w:hAnsi="Arial"/>
          <w:b w:val="1"/>
          <w:bCs w:val="1"/>
          <w:color w:val="000000"/>
          <w:sz w:val="20"/>
          <w:szCs w:val="20"/>
          <w:u w:val="single"/>
        </w:rPr>
      </w:pPr>
      <w:bookmarkStart w:colFirst="0" w:colLast="0" w:name="_heading=h.z6lr5xe4iwhk" w:id="1"/>
      <w:bookmarkEnd w:id="1"/>
      <w:r w:rsidDel="00000000" w:rsidR="00000000" w:rsidRPr="00000000">
        <w:rPr>
          <w:rFonts w:ascii="Arial" w:cs="Arial" w:eastAsia="Arial" w:hAnsi="Arial"/>
          <w:b w:val="1"/>
          <w:bCs w:val="1"/>
          <w:color w:val="000000"/>
          <w:sz w:val="20"/>
          <w:szCs w:val="20"/>
          <w:rtl w:val="0"/>
        </w:rPr>
        <w:t xml:space="preserve">jednotky </w:t>
      </w:r>
      <w:r w:rsidDel="00000000" w:rsidR="00000000" w:rsidRPr="00000000">
        <w:rPr>
          <w:rFonts w:ascii="Arial" w:cs="Arial" w:eastAsia="Arial" w:hAnsi="Arial"/>
          <w:color w:val="000000"/>
          <w:sz w:val="20"/>
          <w:szCs w:val="20"/>
          <w:rtl w:val="0"/>
        </w:rPr>
        <w:t xml:space="preserve">označené v prodejní dokumentaci Budoucího prodávajícího jako </w:t>
      </w:r>
      <w:r w:rsidDel="00000000" w:rsidR="00000000" w:rsidRPr="00000000">
        <w:rPr>
          <w:rFonts w:ascii="Arial" w:cs="Arial" w:eastAsia="Arial" w:hAnsi="Arial"/>
          <w:b w:val="1"/>
          <w:bCs w:val="1"/>
          <w:color w:val="000000"/>
          <w:sz w:val="20"/>
          <w:szCs w:val="20"/>
          <w:rtl w:val="0"/>
        </w:rPr>
        <w:t xml:space="preserve">č.</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b w:val="1"/>
          <w:bCs w:val="1"/>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která se bude nacházet se v/ve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nadzemním podlaží Budovy, která bude součástí Pozemku (dále jen „</w:t>
      </w:r>
      <w:r w:rsidDel="00000000" w:rsidR="00000000" w:rsidRPr="00000000">
        <w:rPr>
          <w:rFonts w:ascii="Arial" w:cs="Arial" w:eastAsia="Arial" w:hAnsi="Arial"/>
          <w:b w:val="1"/>
          <w:bCs w:val="1"/>
          <w:color w:val="000000"/>
          <w:sz w:val="20"/>
          <w:szCs w:val="20"/>
          <w:rtl w:val="0"/>
        </w:rPr>
        <w:t xml:space="preserve">Jednotka</w:t>
      </w:r>
      <w:r w:rsidDel="00000000" w:rsidR="00000000" w:rsidRPr="00000000">
        <w:rPr>
          <w:rFonts w:ascii="Arial" w:cs="Arial" w:eastAsia="Arial" w:hAnsi="Arial"/>
          <w:color w:val="000000"/>
          <w:sz w:val="20"/>
          <w:szCs w:val="20"/>
          <w:rtl w:val="0"/>
        </w:rPr>
        <w:t xml:space="preserve">“), a která bude zahrnovat:</w:t>
      </w:r>
      <w:r w:rsidDel="00000000" w:rsidR="00000000" w:rsidRPr="00000000">
        <w:rPr>
          <w:rtl w:val="0"/>
        </w:rPr>
      </w:r>
    </w:p>
    <w:p w:rsidR="00000000" w:rsidDel="00000000" w:rsidP="00000000" w:rsidRDefault="00000000" w:rsidRPr="00000000" w14:paraId="0000004C">
      <w:pPr>
        <w:numPr>
          <w:ilvl w:val="0"/>
          <w:numId w:val="10"/>
        </w:numPr>
        <w:pBdr>
          <w:top w:space="0" w:sz="0" w:val="nil"/>
          <w:left w:space="0" w:sz="0" w:val="nil"/>
          <w:bottom w:space="0" w:sz="0" w:val="nil"/>
          <w:right w:space="0" w:sz="0" w:val="nil"/>
          <w:between w:space="0" w:sz="0" w:val="nil"/>
        </w:pBdr>
        <w:spacing w:after="0" w:line="240" w:lineRule="auto"/>
        <w:ind w:left="1276" w:hanging="425"/>
        <w:jc w:val="both"/>
        <w:rPr>
          <w:rFonts w:ascii="Arial" w:cs="Arial" w:eastAsia="Arial" w:hAnsi="Arial"/>
          <w:b w:val="1"/>
          <w:bCs w:val="1"/>
          <w:color w:val="000000"/>
          <w:sz w:val="20"/>
          <w:szCs w:val="20"/>
          <w:u w:val="single"/>
        </w:rPr>
      </w:pPr>
      <w:r w:rsidDel="00000000" w:rsidR="00000000" w:rsidRPr="00000000">
        <w:rPr>
          <w:rFonts w:ascii="Arial" w:cs="Arial" w:eastAsia="Arial" w:hAnsi="Arial"/>
          <w:b w:val="1"/>
          <w:bCs w:val="1"/>
          <w:color w:val="000000"/>
          <w:sz w:val="20"/>
          <w:szCs w:val="20"/>
          <w:rtl w:val="0"/>
        </w:rPr>
        <w:t xml:space="preserve">byt </w:t>
      </w:r>
      <w:r w:rsidDel="00000000" w:rsidR="00000000" w:rsidRPr="00000000">
        <w:rPr>
          <w:rFonts w:ascii="Arial" w:cs="Arial" w:eastAsia="Arial" w:hAnsi="Arial"/>
          <w:color w:val="000000"/>
          <w:sz w:val="20"/>
          <w:szCs w:val="20"/>
          <w:rtl w:val="0"/>
        </w:rPr>
        <w:t xml:space="preserve">o předpokládané podlahové ploše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m</w:t>
      </w:r>
      <w:r w:rsidDel="00000000" w:rsidR="00000000" w:rsidRPr="00000000">
        <w:rPr>
          <w:rFonts w:ascii="Arial" w:cs="Arial" w:eastAsia="Arial" w:hAnsi="Arial"/>
          <w:color w:val="000000"/>
          <w:sz w:val="20"/>
          <w:szCs w:val="20"/>
          <w:vertAlign w:val="superscript"/>
          <w:rtl w:val="0"/>
        </w:rPr>
        <w:t xml:space="preserve">2</w:t>
      </w:r>
      <w:r w:rsidDel="00000000" w:rsidR="00000000" w:rsidRPr="00000000">
        <w:rPr>
          <w:rFonts w:ascii="Arial" w:cs="Arial" w:eastAsia="Arial" w:hAnsi="Arial"/>
          <w:color w:val="000000"/>
          <w:sz w:val="20"/>
          <w:szCs w:val="20"/>
          <w:rtl w:val="0"/>
        </w:rPr>
        <w:t xml:space="preserve">, , </w:t>
      </w:r>
      <w:r w:rsidDel="00000000" w:rsidR="00000000" w:rsidRPr="00000000">
        <w:rPr>
          <w:rtl w:val="0"/>
        </w:rPr>
      </w:r>
    </w:p>
    <w:p w:rsidR="00000000" w:rsidDel="00000000" w:rsidP="00000000" w:rsidRDefault="00000000" w:rsidRPr="00000000" w14:paraId="0000004D">
      <w:pPr>
        <w:numPr>
          <w:ilvl w:val="0"/>
          <w:numId w:val="10"/>
        </w:numPr>
        <w:pBdr>
          <w:top w:space="0" w:sz="0" w:val="nil"/>
          <w:left w:space="0" w:sz="0" w:val="nil"/>
          <w:bottom w:space="0" w:sz="0" w:val="nil"/>
          <w:right w:space="0" w:sz="0" w:val="nil"/>
          <w:between w:space="0" w:sz="0" w:val="nil"/>
        </w:pBdr>
        <w:spacing w:after="0" w:line="240" w:lineRule="auto"/>
        <w:ind w:left="1276" w:hanging="425"/>
        <w:jc w:val="both"/>
        <w:rPr>
          <w:rFonts w:ascii="Arial" w:cs="Arial" w:eastAsia="Arial" w:hAnsi="Arial"/>
          <w:b w:val="1"/>
          <w:bCs w:val="1"/>
          <w:color w:val="000000"/>
          <w:sz w:val="20"/>
          <w:szCs w:val="20"/>
          <w:u w:val="single"/>
        </w:rPr>
      </w:pPr>
      <w:r w:rsidDel="00000000" w:rsidR="00000000" w:rsidRPr="00000000">
        <w:rPr>
          <w:rFonts w:ascii="Arial" w:cs="Arial" w:eastAsia="Arial" w:hAnsi="Arial"/>
          <w:color w:val="000000"/>
          <w:sz w:val="20"/>
          <w:szCs w:val="20"/>
          <w:rtl w:val="0"/>
        </w:rPr>
        <w:t xml:space="preserve">příslušný </w:t>
      </w:r>
      <w:r w:rsidDel="00000000" w:rsidR="00000000" w:rsidRPr="00000000">
        <w:rPr>
          <w:rFonts w:ascii="Arial" w:cs="Arial" w:eastAsia="Arial" w:hAnsi="Arial"/>
          <w:b w:val="1"/>
          <w:bCs w:val="1"/>
          <w:color w:val="000000"/>
          <w:sz w:val="20"/>
          <w:szCs w:val="20"/>
          <w:rtl w:val="0"/>
        </w:rPr>
        <w:t xml:space="preserve">spoluvlastnický podíl na společných částech Nemovitostí</w:t>
      </w:r>
      <w:r w:rsidDel="00000000" w:rsidR="00000000" w:rsidRPr="00000000">
        <w:rPr>
          <w:rFonts w:ascii="Arial" w:cs="Arial" w:eastAsia="Arial" w:hAnsi="Arial"/>
          <w:color w:val="000000"/>
          <w:sz w:val="20"/>
          <w:szCs w:val="20"/>
          <w:rtl w:val="0"/>
        </w:rPr>
        <w:t xml:space="preserve">, který bude blíže specifikován v kupní smlouvě.</w:t>
      </w:r>
      <w:r w:rsidDel="00000000" w:rsidR="00000000" w:rsidRPr="00000000">
        <w:rPr>
          <w:rtl w:val="0"/>
        </w:rPr>
      </w:r>
    </w:p>
    <w:p w:rsidR="00000000" w:rsidDel="00000000" w:rsidP="00000000" w:rsidRDefault="00000000" w:rsidRPr="00000000" w14:paraId="0000004E">
      <w:pPr>
        <w:spacing w:after="0" w:line="240" w:lineRule="auto"/>
        <w:ind w:left="85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 vlastnictvím Jednotky bude spojeno právo výlučného užívání balkonu přístupného z bytu.</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240" w:lineRule="auto"/>
        <w:ind w:left="1276" w:firstLine="0"/>
        <w:jc w:val="both"/>
        <w:rPr>
          <w:rFonts w:ascii="Arial" w:cs="Arial" w:eastAsia="Arial" w:hAnsi="Arial"/>
          <w:b w:val="1"/>
          <w:bCs w:val="1"/>
          <w:color w:val="000000"/>
          <w:sz w:val="20"/>
          <w:szCs w:val="20"/>
          <w:u w:val="single"/>
        </w:rPr>
      </w:pPr>
      <w:r w:rsidDel="00000000" w:rsidR="00000000" w:rsidRPr="00000000">
        <w:rPr>
          <w:rtl w:val="0"/>
        </w:rPr>
      </w:r>
    </w:p>
    <w:p w:rsidR="00000000" w:rsidDel="00000000" w:rsidP="00000000" w:rsidRDefault="00000000" w:rsidRPr="00000000" w14:paraId="00000050">
      <w:pPr>
        <w:numPr>
          <w:ilvl w:val="0"/>
          <w:numId w:val="9"/>
        </w:numPr>
        <w:pBdr>
          <w:top w:space="0" w:sz="0" w:val="nil"/>
          <w:left w:space="0" w:sz="0" w:val="nil"/>
          <w:bottom w:space="0" w:sz="0" w:val="nil"/>
          <w:right w:space="0" w:sz="0" w:val="nil"/>
          <w:between w:space="0" w:sz="0" w:val="nil"/>
        </w:pBdr>
        <w:spacing w:after="0" w:line="240" w:lineRule="auto"/>
        <w:ind w:left="851" w:hanging="426"/>
        <w:jc w:val="both"/>
        <w:rPr>
          <w:rFonts w:ascii="Arial" w:cs="Arial" w:eastAsia="Arial" w:hAnsi="Arial"/>
          <w:b w:val="1"/>
          <w:bCs w:val="1"/>
          <w:color w:val="000000"/>
          <w:sz w:val="20"/>
          <w:szCs w:val="20"/>
          <w:highlight w:val="yellow"/>
        </w:rPr>
      </w:pPr>
      <w:r w:rsidDel="00000000" w:rsidR="00000000" w:rsidRPr="00000000">
        <w:rPr>
          <w:rFonts w:ascii="Arial" w:cs="Arial" w:eastAsia="Arial" w:hAnsi="Arial"/>
          <w:b w:val="1"/>
          <w:bCs w:val="1"/>
          <w:color w:val="000000"/>
          <w:sz w:val="20"/>
          <w:szCs w:val="20"/>
          <w:highlight w:val="yellow"/>
          <w:rtl w:val="0"/>
        </w:rPr>
        <w:t xml:space="preserve">sklepní kóje </w:t>
      </w:r>
      <w:r w:rsidDel="00000000" w:rsidR="00000000" w:rsidRPr="00000000">
        <w:rPr>
          <w:rFonts w:ascii="Arial" w:cs="Arial" w:eastAsia="Arial" w:hAnsi="Arial"/>
          <w:color w:val="000000"/>
          <w:sz w:val="20"/>
          <w:szCs w:val="20"/>
          <w:highlight w:val="yellow"/>
          <w:rtl w:val="0"/>
        </w:rPr>
        <w:t xml:space="preserve">označené v prodejní dokumentaci Budoucího prodávajícího jako </w:t>
      </w:r>
      <w:r w:rsidDel="00000000" w:rsidR="00000000" w:rsidRPr="00000000">
        <w:rPr>
          <w:rFonts w:ascii="Arial" w:cs="Arial" w:eastAsia="Arial" w:hAnsi="Arial"/>
          <w:b w:val="1"/>
          <w:bCs w:val="1"/>
          <w:color w:val="000000"/>
          <w:sz w:val="20"/>
          <w:szCs w:val="20"/>
          <w:highlight w:val="yellow"/>
          <w:rtl w:val="0"/>
        </w:rPr>
        <w:t xml:space="preserve">č. (  )</w:t>
      </w:r>
      <w:r w:rsidDel="00000000" w:rsidR="00000000" w:rsidRPr="00000000">
        <w:rPr>
          <w:rFonts w:ascii="Arial" w:cs="Arial" w:eastAsia="Arial" w:hAnsi="Arial"/>
          <w:color w:val="000000"/>
          <w:sz w:val="20"/>
          <w:szCs w:val="20"/>
          <w:highlight w:val="yellow"/>
          <w:rtl w:val="0"/>
        </w:rPr>
        <w:t xml:space="preserve">, která se bude nacházet v 1. podzemním podlaží Budovy (dále jen „</w:t>
      </w:r>
      <w:r w:rsidDel="00000000" w:rsidR="00000000" w:rsidRPr="00000000">
        <w:rPr>
          <w:rFonts w:ascii="Arial" w:cs="Arial" w:eastAsia="Arial" w:hAnsi="Arial"/>
          <w:b w:val="1"/>
          <w:bCs w:val="1"/>
          <w:color w:val="000000"/>
          <w:sz w:val="20"/>
          <w:szCs w:val="20"/>
          <w:highlight w:val="yellow"/>
          <w:rtl w:val="0"/>
        </w:rPr>
        <w:t xml:space="preserve">Sklepní kóje</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40" w:lineRule="auto"/>
        <w:ind w:left="1276" w:firstLine="0"/>
        <w:jc w:val="both"/>
        <w:rPr>
          <w:rFonts w:ascii="Arial" w:cs="Arial" w:eastAsia="Arial" w:hAnsi="Arial"/>
          <w:b w:val="1"/>
          <w:bCs w:val="1"/>
          <w:color w:val="000000"/>
          <w:sz w:val="20"/>
          <w:szCs w:val="20"/>
          <w:u w:val="single"/>
        </w:rPr>
      </w:pPr>
      <w:r w:rsidDel="00000000" w:rsidR="00000000" w:rsidRPr="00000000">
        <w:rPr>
          <w:rtl w:val="0"/>
        </w:rPr>
      </w:r>
    </w:p>
    <w:p w:rsidR="00000000" w:rsidDel="00000000" w:rsidP="00000000" w:rsidRDefault="00000000" w:rsidRPr="00000000" w14:paraId="00000052">
      <w:pPr>
        <w:numPr>
          <w:ilvl w:val="0"/>
          <w:numId w:val="9"/>
        </w:numPr>
        <w:pBdr>
          <w:top w:space="0" w:sz="0" w:val="nil"/>
          <w:left w:space="0" w:sz="0" w:val="nil"/>
          <w:bottom w:space="0" w:sz="0" w:val="nil"/>
          <w:right w:space="0" w:sz="0" w:val="nil"/>
          <w:between w:space="0" w:sz="0" w:val="nil"/>
        </w:pBdr>
        <w:spacing w:after="0" w:line="240" w:lineRule="auto"/>
        <w:ind w:left="851" w:hanging="426"/>
        <w:jc w:val="both"/>
        <w:rPr>
          <w:rFonts w:ascii="Arial" w:cs="Arial" w:eastAsia="Arial" w:hAnsi="Arial"/>
          <w:b w:val="1"/>
          <w:bCs w:val="1"/>
          <w:color w:val="000000"/>
          <w:sz w:val="20"/>
          <w:szCs w:val="20"/>
          <w:highlight w:val="yellow"/>
        </w:rPr>
      </w:pPr>
      <w:r w:rsidDel="00000000" w:rsidR="00000000" w:rsidRPr="00000000">
        <w:rPr>
          <w:rFonts w:ascii="Arial" w:cs="Arial" w:eastAsia="Arial" w:hAnsi="Arial"/>
          <w:b w:val="1"/>
          <w:bCs w:val="1"/>
          <w:color w:val="000000"/>
          <w:sz w:val="20"/>
          <w:szCs w:val="20"/>
          <w:highlight w:val="yellow"/>
          <w:rtl w:val="0"/>
        </w:rPr>
        <w:t xml:space="preserve">parkovacího stání </w:t>
      </w:r>
      <w:r w:rsidDel="00000000" w:rsidR="00000000" w:rsidRPr="00000000">
        <w:rPr>
          <w:rFonts w:ascii="Arial" w:cs="Arial" w:eastAsia="Arial" w:hAnsi="Arial"/>
          <w:color w:val="000000"/>
          <w:sz w:val="20"/>
          <w:szCs w:val="20"/>
          <w:highlight w:val="yellow"/>
          <w:rtl w:val="0"/>
        </w:rPr>
        <w:t xml:space="preserve">označeného v prodejní dokumentaci Budoucího prodávajícího jako </w:t>
      </w:r>
      <w:r w:rsidDel="00000000" w:rsidR="00000000" w:rsidRPr="00000000">
        <w:rPr>
          <w:rFonts w:ascii="Arial" w:cs="Arial" w:eastAsia="Arial" w:hAnsi="Arial"/>
          <w:b w:val="1"/>
          <w:bCs w:val="1"/>
          <w:color w:val="000000"/>
          <w:sz w:val="20"/>
          <w:szCs w:val="20"/>
          <w:highlight w:val="yellow"/>
          <w:rtl w:val="0"/>
        </w:rPr>
        <w:t xml:space="preserve">č. (  )</w:t>
      </w:r>
      <w:r w:rsidDel="00000000" w:rsidR="00000000" w:rsidRPr="00000000">
        <w:rPr>
          <w:rFonts w:ascii="Arial" w:cs="Arial" w:eastAsia="Arial" w:hAnsi="Arial"/>
          <w:color w:val="000000"/>
          <w:sz w:val="20"/>
          <w:szCs w:val="20"/>
          <w:highlight w:val="yellow"/>
          <w:rtl w:val="0"/>
        </w:rPr>
        <w:t xml:space="preserve">, které se bude nacházet na Pozemku nebo Souvisejícím pozemku (dále jen „</w:t>
      </w:r>
      <w:r w:rsidDel="00000000" w:rsidR="00000000" w:rsidRPr="00000000">
        <w:rPr>
          <w:rFonts w:ascii="Arial" w:cs="Arial" w:eastAsia="Arial" w:hAnsi="Arial"/>
          <w:b w:val="1"/>
          <w:bCs w:val="1"/>
          <w:color w:val="000000"/>
          <w:sz w:val="20"/>
          <w:szCs w:val="20"/>
          <w:highlight w:val="yellow"/>
          <w:rtl w:val="0"/>
        </w:rPr>
        <w:t xml:space="preserve">Parkovací stání</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240" w:lineRule="auto"/>
        <w:ind w:left="851" w:firstLine="0"/>
        <w:jc w:val="both"/>
        <w:rPr>
          <w:rFonts w:ascii="Arial" w:cs="Arial" w:eastAsia="Arial" w:hAnsi="Arial"/>
          <w:b w:val="1"/>
          <w:bCs w:val="1"/>
          <w:color w:val="000000"/>
          <w:sz w:val="20"/>
          <w:szCs w:val="20"/>
          <w:u w:val="single"/>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180"/>
        </w:tabs>
        <w:spacing w:after="0" w:line="240" w:lineRule="auto"/>
        <w:ind w:left="425"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vše dále pro účely této Smlouvy společně označováno jen jako „</w:t>
      </w:r>
      <w:r w:rsidDel="00000000" w:rsidR="00000000" w:rsidRPr="00000000">
        <w:rPr>
          <w:rFonts w:ascii="Arial" w:cs="Arial" w:eastAsia="Arial" w:hAnsi="Arial"/>
          <w:b w:val="1"/>
          <w:bCs w:val="1"/>
          <w:sz w:val="20"/>
          <w:szCs w:val="20"/>
          <w:rtl w:val="0"/>
        </w:rPr>
        <w:t xml:space="preserve">Budoucí předmět převodu“</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180"/>
        </w:tabs>
        <w:spacing w:after="0" w:line="240" w:lineRule="auto"/>
        <w:ind w:left="72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6">
      <w:pPr>
        <w:spacing w:after="0" w:line="240" w:lineRule="auto"/>
        <w:ind w:left="425" w:firstLine="0"/>
        <w:jc w:val="both"/>
        <w:rPr>
          <w:rFonts w:ascii="Arial" w:cs="Arial" w:eastAsia="Arial" w:hAnsi="Arial"/>
          <w:sz w:val="20"/>
          <w:szCs w:val="20"/>
          <w:highlight w:val="yellow"/>
        </w:rPr>
      </w:pPr>
      <w:r w:rsidDel="00000000" w:rsidR="00000000" w:rsidRPr="00000000">
        <w:rPr>
          <w:rFonts w:ascii="Arial" w:cs="Arial" w:eastAsia="Arial" w:hAnsi="Arial"/>
          <w:sz w:val="20"/>
          <w:szCs w:val="20"/>
          <w:rtl w:val="0"/>
        </w:rPr>
        <w:t xml:space="preserve">Bližší specifikace Budoucího předmětu převodu je uvedena v </w:t>
      </w:r>
      <w:r w:rsidDel="00000000" w:rsidR="00000000" w:rsidRPr="00000000">
        <w:rPr>
          <w:rFonts w:ascii="Arial" w:cs="Arial" w:eastAsia="Arial" w:hAnsi="Arial"/>
          <w:sz w:val="20"/>
          <w:szCs w:val="20"/>
          <w:u w:val="single"/>
          <w:rtl w:val="0"/>
        </w:rPr>
        <w:t xml:space="preserve">Příloze č. 2</w:t>
      </w:r>
      <w:r w:rsidDel="00000000" w:rsidR="00000000" w:rsidRPr="00000000">
        <w:rPr>
          <w:rFonts w:ascii="Arial" w:cs="Arial" w:eastAsia="Arial" w:hAnsi="Arial"/>
          <w:sz w:val="20"/>
          <w:szCs w:val="20"/>
          <w:rtl w:val="0"/>
        </w:rPr>
        <w:t xml:space="preserve">, kterou tvoří tzv. karta Jednotky (v tzv. standardním provedení), schéma sklepních kójí s vyznačením Sklepní kóje a schéma parkovacích stání s vyznačením Parkovacího stání. </w:t>
      </w:r>
      <w:r w:rsidDel="00000000" w:rsidR="00000000" w:rsidRPr="00000000">
        <w:rPr>
          <w:rtl w:val="0"/>
        </w:rPr>
      </w:r>
    </w:p>
    <w:p w:rsidR="00000000" w:rsidDel="00000000" w:rsidP="00000000" w:rsidRDefault="00000000" w:rsidRPr="00000000" w14:paraId="00000057">
      <w:pPr>
        <w:spacing w:after="0" w:line="240" w:lineRule="auto"/>
        <w:ind w:left="426"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Předpokládaný kvalitativní standard Budoucího předmětu převodu je uveden v </w:t>
      </w:r>
      <w:r w:rsidDel="00000000" w:rsidR="00000000" w:rsidRPr="00000000">
        <w:rPr>
          <w:rFonts w:ascii="Arial" w:cs="Arial" w:eastAsia="Arial" w:hAnsi="Arial"/>
          <w:sz w:val="20"/>
          <w:szCs w:val="20"/>
          <w:u w:val="single"/>
          <w:rtl w:val="0"/>
        </w:rPr>
        <w:t xml:space="preserve">Příloze 3</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180"/>
        </w:tabs>
        <w:spacing w:after="0" w:line="240" w:lineRule="auto"/>
        <w:ind w:left="72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9">
      <w:pPr>
        <w:numPr>
          <w:ilvl w:val="0"/>
          <w:numId w:val="8"/>
        </w:numPr>
        <w:spacing w:after="0" w:line="240" w:lineRule="auto"/>
        <w:ind w:left="426"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Zájemce bere na vědomí, že ke dni podpisu této Smlouvy není možné určit Budoucí předmět převodu detailněji. Přesné vymezení Budoucího předmětu převodu, jakož i zvolení vlastnicko-právního řešení Parkovacího stání a Sklepní kóje bude uvedeno v kupní smlouvě. Zájemce prohlašuje, že má vymezení Budoucího předmětu převodu dle této</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0"/>
          <w:szCs w:val="20"/>
          <w:rtl w:val="0"/>
        </w:rPr>
        <w:t xml:space="preserve">Smlouvy za dostatečně určité. </w:t>
      </w:r>
    </w:p>
    <w:p w:rsidR="00000000" w:rsidDel="00000000" w:rsidP="00000000" w:rsidRDefault="00000000" w:rsidRPr="00000000" w14:paraId="0000005A">
      <w:pPr>
        <w:spacing w:after="0" w:line="240" w:lineRule="auto"/>
        <w:ind w:left="426"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B">
      <w:pPr>
        <w:numPr>
          <w:ilvl w:val="0"/>
          <w:numId w:val="8"/>
        </w:numPr>
        <w:spacing w:after="0" w:line="240" w:lineRule="auto"/>
        <w:ind w:left="426"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Zájemce dále bere na vědomí a je srozuměn s tím, že Nemovitosti či jejich části jsou či mohou být do doby jejich převodu na Zájemce, dle uvážení Budoucího prodávajícího, zatíženy věcnými či jinými právy třetích osob (viz. také čl. VI. odst. 1. této Smlouvy). Shora popsané skutečnosti nejsou a nebudou důvodem k odstoupení od této Smlouvy ze strany Zájemce.</w:t>
      </w:r>
    </w:p>
    <w:p w:rsidR="00000000" w:rsidDel="00000000" w:rsidP="00000000" w:rsidRDefault="00000000" w:rsidRPr="00000000" w14:paraId="0000005C">
      <w:pPr>
        <w:spacing w:after="0" w:line="240" w:lineRule="auto"/>
        <w:ind w:left="426"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D">
      <w:pPr>
        <w:numPr>
          <w:ilvl w:val="0"/>
          <w:numId w:val="8"/>
        </w:numPr>
        <w:spacing w:after="0" w:line="240" w:lineRule="auto"/>
        <w:ind w:left="426"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Budoucí prodávající se touto Smlouvou zavazuje rezervovat po dobu 30 (slovy: třicet) dní ode dne, kdy ze strany Zájemce bude v souladu s touto Smlouvou složen rezervační poplatek (dále jen „</w:t>
      </w:r>
      <w:r w:rsidDel="00000000" w:rsidR="00000000" w:rsidRPr="00000000">
        <w:rPr>
          <w:rFonts w:ascii="Arial" w:cs="Arial" w:eastAsia="Arial" w:hAnsi="Arial"/>
          <w:b w:val="1"/>
          <w:bCs w:val="1"/>
          <w:sz w:val="20"/>
          <w:szCs w:val="20"/>
          <w:rtl w:val="0"/>
        </w:rPr>
        <w:t xml:space="preserve">Rezervační lhůta</w:t>
      </w:r>
      <w:r w:rsidDel="00000000" w:rsidR="00000000" w:rsidRPr="00000000">
        <w:rPr>
          <w:rFonts w:ascii="Arial" w:cs="Arial" w:eastAsia="Arial" w:hAnsi="Arial"/>
          <w:sz w:val="20"/>
          <w:szCs w:val="20"/>
          <w:rtl w:val="0"/>
        </w:rPr>
        <w:t xml:space="preserve">“), výhradně pro Zájemce příležitost uzavřít SOSBK na Budoucí předmět převodu; rezervací se rozumí závazek </w:t>
      </w:r>
      <w:r w:rsidDel="00000000" w:rsidR="00000000" w:rsidRPr="00000000">
        <w:rPr>
          <w:rFonts w:ascii="Arial" w:cs="Arial" w:eastAsia="Arial" w:hAnsi="Arial"/>
          <w:color w:val="000000"/>
          <w:sz w:val="20"/>
          <w:szCs w:val="20"/>
          <w:rtl w:val="0"/>
        </w:rPr>
        <w:t xml:space="preserve">Budoucího prodávajícího po dobu Rezervační lhůty neuzavřít bez souhlasu Zájemce s žádnou třetí osobou jinou rezervační smlouvu, ani smlouvu o smlouvě budoucí kupní ani jinou smlouvou vedoucí ke zcizení Budoucího předmětu převodu.</w:t>
      </w:r>
      <w:r w:rsidDel="00000000" w:rsidR="00000000" w:rsidRPr="00000000">
        <w:rPr>
          <w:rtl w:val="0"/>
        </w:rPr>
      </w:r>
    </w:p>
    <w:p w:rsidR="00000000" w:rsidDel="00000000" w:rsidP="00000000" w:rsidRDefault="00000000" w:rsidRPr="00000000" w14:paraId="0000005E">
      <w:pPr>
        <w:spacing w:after="0" w:line="240" w:lineRule="auto"/>
        <w:ind w:left="426"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F">
      <w:pPr>
        <w:numPr>
          <w:ilvl w:val="0"/>
          <w:numId w:val="8"/>
        </w:numPr>
        <w:spacing w:after="0" w:line="240" w:lineRule="auto"/>
        <w:ind w:left="426"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Zájemce se touto Smlouvou zavazuje:</w:t>
      </w:r>
    </w:p>
    <w:p w:rsidR="00000000" w:rsidDel="00000000" w:rsidP="00000000" w:rsidRDefault="00000000" w:rsidRPr="00000000" w14:paraId="00000060">
      <w:pPr>
        <w:numPr>
          <w:ilvl w:val="0"/>
          <w:numId w:val="12"/>
        </w:numPr>
        <w:pBdr>
          <w:top w:space="0" w:sz="0" w:val="nil"/>
          <w:left w:space="0" w:sz="0" w:val="nil"/>
          <w:bottom w:space="0" w:sz="0" w:val="nil"/>
          <w:right w:space="0" w:sz="0" w:val="nil"/>
          <w:between w:space="0" w:sz="0" w:val="nil"/>
        </w:pBdr>
        <w:spacing w:after="0" w:line="240" w:lineRule="auto"/>
        <w:ind w:left="851"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uhradit Budoucímu prodávajícímu v souladu s článkem III. odst. 1. této Smlouvy rezervační poplatek;</w:t>
      </w:r>
    </w:p>
    <w:p w:rsidR="00000000" w:rsidDel="00000000" w:rsidP="00000000" w:rsidRDefault="00000000" w:rsidRPr="00000000" w14:paraId="00000061">
      <w:pPr>
        <w:numPr>
          <w:ilvl w:val="0"/>
          <w:numId w:val="12"/>
        </w:numPr>
        <w:pBdr>
          <w:top w:space="0" w:sz="0" w:val="nil"/>
          <w:left w:space="0" w:sz="0" w:val="nil"/>
          <w:bottom w:space="0" w:sz="0" w:val="nil"/>
          <w:right w:space="0" w:sz="0" w:val="nil"/>
          <w:between w:space="0" w:sz="0" w:val="nil"/>
        </w:pBdr>
        <w:spacing w:after="0" w:line="240" w:lineRule="auto"/>
        <w:ind w:left="851"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uzavřít s Budoucím prodávajícím nejpozději do konce Rezervační lhůty a za podmínek uvedených v této Smlouvě SOSBK, v níž Smluvní strany sjednají bližší podmínky převodu vlastnického práva k Budoucímu předmětu převodu na Zájemce, a jejíž závazné znění je nedílnou součástí této Smlouvy jako její </w:t>
      </w:r>
      <w:r w:rsidDel="00000000" w:rsidR="00000000" w:rsidRPr="00000000">
        <w:rPr>
          <w:rFonts w:ascii="Arial" w:cs="Arial" w:eastAsia="Arial" w:hAnsi="Arial"/>
          <w:color w:val="000000"/>
          <w:sz w:val="20"/>
          <w:szCs w:val="20"/>
          <w:u w:val="single"/>
          <w:rtl w:val="0"/>
        </w:rPr>
        <w:t xml:space="preserve">Příloha č. 4</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3">
      <w:pPr>
        <w:numPr>
          <w:ilvl w:val="0"/>
          <w:numId w:val="8"/>
        </w:numPr>
        <w:pBdr>
          <w:top w:space="0" w:sz="0" w:val="nil"/>
          <w:left w:space="0" w:sz="0" w:val="nil"/>
          <w:bottom w:space="0" w:sz="0" w:val="nil"/>
          <w:right w:space="0" w:sz="0" w:val="nil"/>
          <w:between w:space="0" w:sz="0" w:val="nil"/>
        </w:pBdr>
        <w:tabs>
          <w:tab w:val="left" w:leader="none" w:pos="180"/>
        </w:tabs>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Smluvní strany se tímto výslovně dohodly, že bude-li složen rezervační poplatek v souladu s čl. III. odst. 1. této Smlouvy, a nedohodne-li se Zájemce s Budoucím prodávajícím na místě a čase podpisu SOSBK, bude SOSBK podepsána v poslední den Rezervační lhůty v kanceláři realitní kanceláří Qara v čase od 9:00 do 10:00 na adrese Šafaříkova 201/17, 120 00 Praha 2-Vinohrady. Připadne-li tento den na sobotu, neděli nebo na státní svátek, bude SOSBK podepsána v daném čase a místě první pracovní den následující po posledním dni lhůty.</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Článek III.</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Rezervační poplatek </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8">
      <w:pPr>
        <w:numPr>
          <w:ilvl w:val="0"/>
          <w:numId w:val="13"/>
        </w:numPr>
        <w:pBdr>
          <w:top w:space="0" w:sz="0" w:val="nil"/>
          <w:left w:space="0" w:sz="0" w:val="nil"/>
          <w:bottom w:space="0" w:sz="0" w:val="nil"/>
          <w:right w:space="0" w:sz="0" w:val="nil"/>
          <w:between w:space="0" w:sz="0" w:val="nil"/>
        </w:pBdr>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Na důkaz svého závazku uzavřít s Budoucím prodávajícím SOSBK, za účelem zahájení činností a jednání vedoucích k uzavření SOSBK, a jako poplatek za rezervaci Budoucího předmětu převodu Budoucím prodávajícím v souladu s touto Smlouvou</w:t>
      </w:r>
      <w:r w:rsidDel="00000000" w:rsidR="00000000" w:rsidRPr="00000000">
        <w:rPr>
          <w:rFonts w:ascii="Arial" w:cs="Arial" w:eastAsia="Arial" w:hAnsi="Arial"/>
          <w:color w:val="000000"/>
          <w:sz w:val="20"/>
          <w:szCs w:val="20"/>
          <w:rtl w:val="0"/>
        </w:rPr>
        <w:t xml:space="preserve"> se Zájemce zavazuje složit do 3 (slovy: tří) pracovních dnů ode dne podpisu této Smlouvy na účet Budoucího prodávajícího č. účtu: 7720060329/0800, vedený u České Spořitelny a.s., pod VS </w:t>
      </w:r>
      <w:r w:rsidDel="00000000" w:rsidR="00000000" w:rsidRPr="00000000">
        <w:rPr>
          <w:rFonts w:ascii="Arial" w:cs="Arial" w:eastAsia="Arial" w:hAnsi="Arial"/>
          <w:b w:val="1"/>
          <w:bCs w:val="1"/>
          <w:color w:val="000000"/>
          <w:sz w:val="20"/>
          <w:szCs w:val="20"/>
          <w:highlight w:val="yellow"/>
          <w:rtl w:val="0"/>
        </w:rPr>
        <w:t xml:space="preserve">(</w:t>
      </w:r>
      <w:r w:rsidDel="00000000" w:rsidR="00000000" w:rsidRPr="00000000">
        <w:rPr>
          <w:rFonts w:ascii="Arial" w:cs="Arial" w:eastAsia="Arial" w:hAnsi="Arial"/>
          <w:color w:val="000000"/>
          <w:sz w:val="20"/>
          <w:szCs w:val="20"/>
          <w:highlight w:val="yellow"/>
          <w:rtl w:val="0"/>
        </w:rPr>
        <w:t xml:space="preserve">číslo bytu</w:t>
      </w:r>
      <w:r w:rsidDel="00000000" w:rsidR="00000000" w:rsidRPr="00000000">
        <w:rPr>
          <w:rFonts w:ascii="Arial" w:cs="Arial" w:eastAsia="Arial" w:hAnsi="Arial"/>
          <w:b w:val="1"/>
          <w:bCs w:val="1"/>
          <w:color w:val="000000"/>
          <w:sz w:val="20"/>
          <w:szCs w:val="20"/>
          <w:highlight w:val="yellow"/>
          <w:rtl w:val="0"/>
        </w:rPr>
        <w:t xml:space="preserve">)</w:t>
      </w:r>
      <w:r w:rsidDel="00000000" w:rsidR="00000000" w:rsidRPr="00000000">
        <w:rPr>
          <w:rFonts w:ascii="Arial" w:cs="Arial" w:eastAsia="Arial" w:hAnsi="Arial"/>
          <w:color w:val="000000"/>
          <w:sz w:val="20"/>
          <w:szCs w:val="20"/>
          <w:rtl w:val="0"/>
        </w:rPr>
        <w:t xml:space="preserve">, částku ve výši </w:t>
      </w:r>
      <w:r w:rsidDel="00000000" w:rsidR="00000000" w:rsidRPr="00000000">
        <w:rPr>
          <w:rFonts w:ascii="Arial" w:cs="Arial" w:eastAsia="Arial" w:hAnsi="Arial"/>
          <w:b w:val="1"/>
          <w:bCs w:val="1"/>
          <w:color w:val="000000"/>
          <w:sz w:val="20"/>
          <w:szCs w:val="20"/>
          <w:rtl w:val="0"/>
        </w:rPr>
        <w:t xml:space="preserve">200.000,- Kč (slovy: dvě stě tisíc korun českých)</w:t>
      </w:r>
      <w:r w:rsidDel="00000000" w:rsidR="00000000" w:rsidRPr="00000000">
        <w:rPr>
          <w:rFonts w:ascii="Arial" w:cs="Arial" w:eastAsia="Arial" w:hAnsi="Arial"/>
          <w:color w:val="000000"/>
          <w:sz w:val="20"/>
          <w:szCs w:val="20"/>
          <w:rtl w:val="0"/>
        </w:rPr>
        <w:t xml:space="preserve"> (dále jen „</w:t>
      </w:r>
      <w:r w:rsidDel="00000000" w:rsidR="00000000" w:rsidRPr="00000000">
        <w:rPr>
          <w:rFonts w:ascii="Arial" w:cs="Arial" w:eastAsia="Arial" w:hAnsi="Arial"/>
          <w:b w:val="1"/>
          <w:bCs w:val="1"/>
          <w:color w:val="000000"/>
          <w:sz w:val="20"/>
          <w:szCs w:val="20"/>
          <w:rtl w:val="0"/>
        </w:rPr>
        <w:t xml:space="preserve">Rezervační poplatek</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A">
      <w:pPr>
        <w:numPr>
          <w:ilvl w:val="0"/>
          <w:numId w:val="13"/>
        </w:numPr>
        <w:pBdr>
          <w:top w:space="0" w:sz="0" w:val="nil"/>
          <w:left w:space="0" w:sz="0" w:val="nil"/>
          <w:bottom w:space="0" w:sz="0" w:val="nil"/>
          <w:right w:space="0" w:sz="0" w:val="nil"/>
          <w:between w:space="0" w:sz="0" w:val="nil"/>
        </w:pBdr>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V případě, že Rezervační poplatek nebude na účet </w:t>
      </w:r>
      <w:r w:rsidDel="00000000" w:rsidR="00000000" w:rsidRPr="00000000">
        <w:rPr>
          <w:rFonts w:ascii="Arial" w:cs="Arial" w:eastAsia="Arial" w:hAnsi="Arial"/>
          <w:color w:val="000000"/>
          <w:sz w:val="20"/>
          <w:szCs w:val="20"/>
          <w:rtl w:val="0"/>
        </w:rPr>
        <w:t xml:space="preserve">Budoucího prodávajícího </w:t>
      </w:r>
      <w:r w:rsidDel="00000000" w:rsidR="00000000" w:rsidRPr="00000000">
        <w:rPr>
          <w:rFonts w:ascii="Arial" w:cs="Arial" w:eastAsia="Arial" w:hAnsi="Arial"/>
          <w:sz w:val="20"/>
          <w:szCs w:val="20"/>
          <w:rtl w:val="0"/>
        </w:rPr>
        <w:t xml:space="preserve">připsán ani 4. (slovy: čtvrtý) pracovní den </w:t>
      </w:r>
      <w:r w:rsidDel="00000000" w:rsidR="00000000" w:rsidRPr="00000000">
        <w:rPr>
          <w:rFonts w:ascii="Arial" w:cs="Arial" w:eastAsia="Arial" w:hAnsi="Arial"/>
          <w:color w:val="000000"/>
          <w:sz w:val="20"/>
          <w:szCs w:val="20"/>
          <w:rtl w:val="0"/>
        </w:rPr>
        <w:t xml:space="preserve">ode dne podpisu </w:t>
      </w:r>
      <w:r w:rsidDel="00000000" w:rsidR="00000000" w:rsidRPr="00000000">
        <w:rPr>
          <w:rFonts w:ascii="Arial" w:cs="Arial" w:eastAsia="Arial" w:hAnsi="Arial"/>
          <w:sz w:val="20"/>
          <w:szCs w:val="20"/>
          <w:rtl w:val="0"/>
        </w:rPr>
        <w:t xml:space="preserve">této Smlouvy, tato Smlouva se bez dalšího ruší (rozvazovací podmínka).</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6C">
      <w:pPr>
        <w:numPr>
          <w:ilvl w:val="0"/>
          <w:numId w:val="13"/>
        </w:numPr>
        <w:pBdr>
          <w:top w:space="0" w:sz="0" w:val="nil"/>
          <w:left w:space="0" w:sz="0" w:val="nil"/>
          <w:bottom w:space="0" w:sz="0" w:val="nil"/>
          <w:right w:space="0" w:sz="0" w:val="nil"/>
          <w:between w:space="0" w:sz="0" w:val="nil"/>
        </w:pBdr>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Smluvní strany se výslovně dohodly, že v případě, kdy Zájemce neuhradí Rezervační poplatek, jak uvedeno v čl. III. odst. 1. této Smlouvy, je Budoucí prodávající oprávněn požadovat po Zájemci úhradu smluvní pokuty ve výši 10.000,- Kč (slovy: deset tisíc korun českých); smluvní pokuta je splatná ve lhůtě 5 (slovy: pěti) pracovních dní ode dne doručení výzvy Budoucího prodávajícího. </w:t>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Článek IV.</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Kupní cena Budoucího předmětu převodu</w:t>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180"/>
        </w:tabs>
        <w:spacing w:after="0" w:line="240" w:lineRule="auto"/>
        <w:ind w:left="709"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1">
      <w:pPr>
        <w:numPr>
          <w:ilvl w:val="0"/>
          <w:numId w:val="14"/>
        </w:numPr>
        <w:pBdr>
          <w:top w:space="0" w:sz="0" w:val="nil"/>
          <w:left w:space="0" w:sz="0" w:val="nil"/>
          <w:bottom w:space="0" w:sz="0" w:val="nil"/>
          <w:right w:space="0" w:sz="0" w:val="nil"/>
          <w:between w:space="0" w:sz="0" w:val="nil"/>
        </w:pBdr>
        <w:tabs>
          <w:tab w:val="left" w:leader="none" w:pos="180"/>
        </w:tabs>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Kupní cena Budoucího předmětu převodu se všemi součástmi a příslušenstvím a se všemi právy a povinnostmi s ním spojenými bude činit </w:t>
      </w:r>
      <w:r w:rsidDel="00000000" w:rsidR="00000000" w:rsidRPr="00000000">
        <w:rPr>
          <w:rFonts w:ascii="Arial" w:cs="Arial" w:eastAsia="Arial" w:hAnsi="Arial"/>
          <w:b w:val="1"/>
          <w:bCs w:val="1"/>
          <w:color w:val="000000"/>
          <w:sz w:val="20"/>
          <w:szCs w:val="20"/>
          <w:highlight w:val="yellow"/>
          <w:rtl w:val="0"/>
        </w:rPr>
        <w:t xml:space="preserve">(  )</w:t>
      </w:r>
      <w:r w:rsidDel="00000000" w:rsidR="00000000" w:rsidRPr="00000000">
        <w:rPr>
          <w:rFonts w:ascii="Arial" w:cs="Arial" w:eastAsia="Arial" w:hAnsi="Arial"/>
          <w:b w:val="1"/>
          <w:bCs w:val="1"/>
          <w:color w:val="000000"/>
          <w:sz w:val="20"/>
          <w:szCs w:val="20"/>
          <w:rtl w:val="0"/>
        </w:rPr>
        <w:t xml:space="preserve">,- Kč (slovy: </w:t>
      </w:r>
      <w:r w:rsidDel="00000000" w:rsidR="00000000" w:rsidRPr="00000000">
        <w:rPr>
          <w:rFonts w:ascii="Arial" w:cs="Arial" w:eastAsia="Arial" w:hAnsi="Arial"/>
          <w:b w:val="1"/>
          <w:bCs w:val="1"/>
          <w:color w:val="000000"/>
          <w:sz w:val="20"/>
          <w:szCs w:val="20"/>
          <w:highlight w:val="yellow"/>
          <w:rtl w:val="0"/>
        </w:rPr>
        <w:t xml:space="preserve">(  )</w:t>
      </w:r>
      <w:r w:rsidDel="00000000" w:rsidR="00000000" w:rsidRPr="00000000">
        <w:rPr>
          <w:rFonts w:ascii="Arial" w:cs="Arial" w:eastAsia="Arial" w:hAnsi="Arial"/>
          <w:b w:val="1"/>
          <w:bCs w:val="1"/>
          <w:color w:val="000000"/>
          <w:sz w:val="20"/>
          <w:szCs w:val="20"/>
          <w:rtl w:val="0"/>
        </w:rPr>
        <w:t xml:space="preserve"> korun českých)</w:t>
      </w:r>
      <w:r w:rsidDel="00000000" w:rsidR="00000000" w:rsidRPr="00000000">
        <w:rPr>
          <w:rFonts w:ascii="Arial" w:cs="Arial" w:eastAsia="Arial" w:hAnsi="Arial"/>
          <w:color w:val="000000"/>
          <w:sz w:val="20"/>
          <w:szCs w:val="20"/>
          <w:rtl w:val="0"/>
        </w:rPr>
        <w:t xml:space="preserve"> /dále jen „</w:t>
      </w:r>
      <w:r w:rsidDel="00000000" w:rsidR="00000000" w:rsidRPr="00000000">
        <w:rPr>
          <w:rFonts w:ascii="Arial" w:cs="Arial" w:eastAsia="Arial" w:hAnsi="Arial"/>
          <w:b w:val="1"/>
          <w:bCs w:val="1"/>
          <w:color w:val="000000"/>
          <w:sz w:val="20"/>
          <w:szCs w:val="20"/>
          <w:rtl w:val="0"/>
        </w:rPr>
        <w:t xml:space="preserve">Kupní cena</w:t>
      </w:r>
      <w:r w:rsidDel="00000000" w:rsidR="00000000" w:rsidRPr="00000000">
        <w:rPr>
          <w:rFonts w:ascii="Arial" w:cs="Arial" w:eastAsia="Arial" w:hAnsi="Arial"/>
          <w:color w:val="000000"/>
          <w:sz w:val="20"/>
          <w:szCs w:val="20"/>
          <w:rtl w:val="0"/>
        </w:rPr>
        <w:t xml:space="preserve">“/</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000000"/>
          <w:sz w:val="20"/>
          <w:szCs w:val="20"/>
          <w:rtl w:val="0"/>
        </w:rPr>
        <w:t xml:space="preserve">a Zájemce tuto Kupní cenu akceptuje. Kupní cena sestává z:</w:t>
      </w:r>
    </w:p>
    <w:p w:rsidR="00000000" w:rsidDel="00000000" w:rsidP="00000000" w:rsidRDefault="00000000" w:rsidRPr="00000000" w14:paraId="00000072">
      <w:pPr>
        <w:numPr>
          <w:ilvl w:val="0"/>
          <w:numId w:val="11"/>
        </w:numPr>
        <w:pBdr>
          <w:top w:space="0" w:sz="0" w:val="nil"/>
          <w:left w:space="0" w:sz="0" w:val="nil"/>
          <w:bottom w:space="0" w:sz="0" w:val="nil"/>
          <w:right w:space="0" w:sz="0" w:val="nil"/>
          <w:between w:space="0" w:sz="0" w:val="nil"/>
        </w:pBdr>
        <w:tabs>
          <w:tab w:val="left" w:leader="none" w:pos="180"/>
        </w:tabs>
        <w:spacing w:after="0" w:line="240" w:lineRule="auto"/>
        <w:ind w:left="851"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ceny za Jednotku včetně spoluvlastnického podílu na nemovité věci ve výši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Kč,</w:t>
      </w:r>
    </w:p>
    <w:p w:rsidR="00000000" w:rsidDel="00000000" w:rsidP="00000000" w:rsidRDefault="00000000" w:rsidRPr="00000000" w14:paraId="00000073">
      <w:pPr>
        <w:numPr>
          <w:ilvl w:val="0"/>
          <w:numId w:val="11"/>
        </w:numPr>
        <w:pBdr>
          <w:top w:space="0" w:sz="0" w:val="nil"/>
          <w:left w:space="0" w:sz="0" w:val="nil"/>
          <w:bottom w:space="0" w:sz="0" w:val="nil"/>
          <w:right w:space="0" w:sz="0" w:val="nil"/>
          <w:between w:space="0" w:sz="0" w:val="nil"/>
        </w:pBdr>
        <w:tabs>
          <w:tab w:val="left" w:leader="none" w:pos="180"/>
        </w:tabs>
        <w:spacing w:after="0" w:line="240" w:lineRule="auto"/>
        <w:ind w:left="851"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ceny za Sklepní kóji ve výši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Kč.</w:t>
      </w:r>
    </w:p>
    <w:p w:rsidR="00000000" w:rsidDel="00000000" w:rsidP="00000000" w:rsidRDefault="00000000" w:rsidRPr="00000000" w14:paraId="00000074">
      <w:pPr>
        <w:numPr>
          <w:ilvl w:val="0"/>
          <w:numId w:val="11"/>
        </w:numPr>
        <w:pBdr>
          <w:top w:space="0" w:sz="0" w:val="nil"/>
          <w:left w:space="0" w:sz="0" w:val="nil"/>
          <w:bottom w:space="0" w:sz="0" w:val="nil"/>
          <w:right w:space="0" w:sz="0" w:val="nil"/>
          <w:between w:space="0" w:sz="0" w:val="nil"/>
        </w:pBdr>
        <w:tabs>
          <w:tab w:val="left" w:leader="none" w:pos="180"/>
        </w:tabs>
        <w:spacing w:after="0" w:line="240" w:lineRule="auto"/>
        <w:ind w:left="851"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ceny za Parkovací stání ve výši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Kč.</w:t>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left" w:leader="none" w:pos="180"/>
        </w:tabs>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6">
      <w:pPr>
        <w:spacing w:after="0" w:line="240" w:lineRule="auto"/>
        <w:ind w:left="426"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Zájemce bere na vědomí, že v případě, že se Budoucí prodávající stane plátcem daně z přidané hodnoty, bude Kupní cena rozdělena na kupní cenu Budoucího předmětu převodu bez DPH a výši DPH platnou ke dni uskutečnění zdanitelného plnění s tím, že celková částka Kupní ceny s nevyčísleným DPH bude stejná jako součet kupní ceny bez DPH a DPH, tedy Kupní cena v konečné výši včetně DPH bude činit </w:t>
      </w:r>
      <w:r w:rsidDel="00000000" w:rsidR="00000000" w:rsidRPr="00000000">
        <w:rPr>
          <w:rFonts w:ascii="Arial" w:cs="Arial" w:eastAsia="Arial" w:hAnsi="Arial"/>
          <w:sz w:val="20"/>
          <w:szCs w:val="20"/>
          <w:highlight w:val="yellow"/>
          <w:rtl w:val="0"/>
        </w:rPr>
        <w:t xml:space="preserve">(  )</w:t>
      </w:r>
      <w:r w:rsidDel="00000000" w:rsidR="00000000" w:rsidRPr="00000000">
        <w:rPr>
          <w:rFonts w:ascii="Arial" w:cs="Arial" w:eastAsia="Arial" w:hAnsi="Arial"/>
          <w:sz w:val="20"/>
          <w:szCs w:val="20"/>
          <w:rtl w:val="0"/>
        </w:rPr>
        <w:t xml:space="preserve">,- Kč. </w:t>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left" w:leader="none" w:pos="180"/>
        </w:tabs>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8">
      <w:pPr>
        <w:spacing w:after="0" w:line="240" w:lineRule="auto"/>
        <w:ind w:left="426"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Zájemce dále bere na vědomí a je srozuměn s tím, že v Kupní ceně nejsou zahrnuty náklady dle aktuálního ceníku poskytovatele služby spojené s připojením nového odběrného místa a s rezervací příkonu pro Jednotku; Smluvní strany se dohodly, že tyto náklady – budou-li před převodem Budoucího předmětu převodu do vlastnictví Zájemce vynaloženy Budoucím prodávajícím – budou Zájemci přeúčtovány na základě samostatného daňového dokladu vystaveného Budoucím prodávajícím nejpozději při podpisu kupní smlouvy. </w:t>
      </w:r>
    </w:p>
    <w:p w:rsidR="00000000" w:rsidDel="00000000" w:rsidP="00000000" w:rsidRDefault="00000000" w:rsidRPr="00000000" w14:paraId="00000079">
      <w:pPr>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A">
      <w:pPr>
        <w:numPr>
          <w:ilvl w:val="0"/>
          <w:numId w:val="14"/>
        </w:numPr>
        <w:pBdr>
          <w:top w:space="0" w:sz="0" w:val="nil"/>
          <w:left w:space="0" w:sz="0" w:val="nil"/>
          <w:bottom w:space="0" w:sz="0" w:val="nil"/>
          <w:right w:space="0" w:sz="0" w:val="nil"/>
          <w:between w:space="0" w:sz="0" w:val="nil"/>
        </w:pBdr>
        <w:tabs>
          <w:tab w:val="left" w:leader="none" w:pos="180"/>
        </w:tabs>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Smluvní strany se tímto výslovně dohodly, že Kupní cena za Budoucí předmět převodu bude Zájemcem zaplacena následovně: </w:t>
      </w: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240" w:lineRule="auto"/>
        <w:ind w:left="851"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C">
      <w:pPr>
        <w:numPr>
          <w:ilvl w:val="0"/>
          <w:numId w:val="15"/>
        </w:numPr>
        <w:pBdr>
          <w:top w:space="0" w:sz="0" w:val="nil"/>
          <w:left w:space="0" w:sz="0" w:val="nil"/>
          <w:bottom w:space="0" w:sz="0" w:val="nil"/>
          <w:right w:space="0" w:sz="0" w:val="nil"/>
          <w:between w:space="0" w:sz="0" w:val="nil"/>
        </w:pBdr>
        <w:spacing w:after="0" w:line="240" w:lineRule="auto"/>
        <w:ind w:left="851"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 záloha na Kupní cenu ve výši </w:t>
      </w:r>
      <w:r w:rsidDel="00000000" w:rsidR="00000000" w:rsidRPr="00000000">
        <w:rPr>
          <w:rFonts w:ascii="Arial" w:cs="Arial" w:eastAsia="Arial" w:hAnsi="Arial"/>
          <w:b w:val="1"/>
          <w:bCs w:val="1"/>
          <w:color w:val="000000"/>
          <w:sz w:val="20"/>
          <w:szCs w:val="20"/>
          <w:rtl w:val="0"/>
        </w:rPr>
        <w:t xml:space="preserve">200.000,- Kč</w:t>
      </w:r>
      <w:r w:rsidDel="00000000" w:rsidR="00000000" w:rsidRPr="00000000">
        <w:rPr>
          <w:rFonts w:ascii="Arial" w:cs="Arial" w:eastAsia="Arial" w:hAnsi="Arial"/>
          <w:color w:val="000000"/>
          <w:sz w:val="20"/>
          <w:szCs w:val="20"/>
          <w:rtl w:val="0"/>
        </w:rPr>
        <w:t xml:space="preserve"> (slovy: dvě stě tisíc korun českých) bude Zájemcem zaplacena v souladu s touto Smlouvou jako Rezervační poplatek;</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240" w:lineRule="auto"/>
        <w:ind w:left="851"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E">
      <w:pPr>
        <w:numPr>
          <w:ilvl w:val="0"/>
          <w:numId w:val="15"/>
        </w:numPr>
        <w:spacing w:after="0" w:line="240" w:lineRule="auto"/>
        <w:ind w:left="851"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záloha na Kupní cenu ve výši odpovídající rozdílu částky </w:t>
      </w:r>
      <w:r w:rsidDel="00000000" w:rsidR="00000000" w:rsidRPr="00000000">
        <w:rPr>
          <w:rFonts w:ascii="Arial" w:cs="Arial" w:eastAsia="Arial" w:hAnsi="Arial"/>
          <w:b w:val="1"/>
          <w:bCs w:val="1"/>
          <w:sz w:val="20"/>
          <w:szCs w:val="20"/>
          <w:u w:val="single"/>
          <w:rtl w:val="0"/>
        </w:rPr>
        <w:t xml:space="preserve">10% Kupní ceny a částky Zájemcem již dle čl. IV. odst. 2. bod (i) této Smlouvy zaplacené</w:t>
      </w:r>
      <w:r w:rsidDel="00000000" w:rsidR="00000000" w:rsidRPr="00000000">
        <w:rPr>
          <w:rFonts w:ascii="Arial" w:cs="Arial" w:eastAsia="Arial" w:hAnsi="Arial"/>
          <w:sz w:val="20"/>
          <w:szCs w:val="20"/>
          <w:rtl w:val="0"/>
        </w:rPr>
        <w:t xml:space="preserve"> (tj. 10% Kupní ceny mínus Zájemcem zaplacená 1. záloha na Kupní cenu) bude Zájemcem zaplacena nejpozději do 10 (slovy: deseti) kalendářních dnů ode dne podpisu SOSBK na bankovní účet (projektový účet) Budoucího prodávajícího č. účtu: 6721013319/0800, vedený u České spořitelny, a.s. (dále jen „</w:t>
      </w:r>
      <w:r w:rsidDel="00000000" w:rsidR="00000000" w:rsidRPr="00000000">
        <w:rPr>
          <w:rFonts w:ascii="Arial" w:cs="Arial" w:eastAsia="Arial" w:hAnsi="Arial"/>
          <w:b w:val="1"/>
          <w:bCs w:val="1"/>
          <w:sz w:val="20"/>
          <w:szCs w:val="20"/>
          <w:rtl w:val="0"/>
        </w:rPr>
        <w:t xml:space="preserve">Projektový účet</w:t>
      </w:r>
      <w:r w:rsidDel="00000000" w:rsidR="00000000" w:rsidRPr="00000000">
        <w:rPr>
          <w:rFonts w:ascii="Arial" w:cs="Arial" w:eastAsia="Arial" w:hAnsi="Arial"/>
          <w:sz w:val="20"/>
          <w:szCs w:val="20"/>
          <w:rtl w:val="0"/>
        </w:rPr>
        <w:t xml:space="preserve">“). Veškeré platby na Projektový účet musí být identifikovány variabilním symbolem </w:t>
      </w:r>
      <w:r w:rsidDel="00000000" w:rsidR="00000000" w:rsidRPr="00000000">
        <w:rPr>
          <w:rFonts w:ascii="Arial" w:cs="Arial" w:eastAsia="Arial" w:hAnsi="Arial"/>
          <w:b w:val="1"/>
          <w:bCs w:val="1"/>
          <w:color w:val="000000"/>
          <w:sz w:val="20"/>
          <w:szCs w:val="20"/>
          <w:highlight w:val="yellow"/>
          <w:rtl w:val="0"/>
        </w:rPr>
        <w:t xml:space="preserve">(</w:t>
      </w:r>
      <w:r w:rsidDel="00000000" w:rsidR="00000000" w:rsidRPr="00000000">
        <w:rPr>
          <w:rFonts w:ascii="Arial" w:cs="Arial" w:eastAsia="Arial" w:hAnsi="Arial"/>
          <w:color w:val="000000"/>
          <w:sz w:val="20"/>
          <w:szCs w:val="20"/>
          <w:highlight w:val="yellow"/>
          <w:rtl w:val="0"/>
        </w:rPr>
        <w:t xml:space="preserve">číslo bytu</w:t>
      </w:r>
      <w:r w:rsidDel="00000000" w:rsidR="00000000" w:rsidRPr="00000000">
        <w:rPr>
          <w:rFonts w:ascii="Arial" w:cs="Arial" w:eastAsia="Arial" w:hAnsi="Arial"/>
          <w:b w:val="1"/>
          <w:bCs w:val="1"/>
          <w:color w:val="000000"/>
          <w:sz w:val="20"/>
          <w:szCs w:val="20"/>
          <w:highlight w:val="yellow"/>
          <w:rtl w:val="0"/>
        </w:rPr>
        <w:t xml:space="preserve">)</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7F">
      <w:pPr>
        <w:spacing w:after="0" w:line="240" w:lineRule="auto"/>
        <w:ind w:left="851"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240" w:lineRule="auto"/>
        <w:ind w:left="851"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Budoucí prodávající Zájemce informuje, že po řádné úhradě částky dle tohoto bodu ze strany Zájemce, bude částka dle čl. IV. odst. 2. bod (i) této Smlouvy Budoucím prodávajícím odeslána na Projektový účet pod </w:t>
      </w:r>
      <w:r w:rsidDel="00000000" w:rsidR="00000000" w:rsidRPr="00000000">
        <w:rPr>
          <w:rFonts w:ascii="Arial" w:cs="Arial" w:eastAsia="Arial" w:hAnsi="Arial"/>
          <w:sz w:val="20"/>
          <w:szCs w:val="20"/>
          <w:rtl w:val="0"/>
        </w:rPr>
        <w:t xml:space="preserve">variabilním symbolem </w:t>
      </w:r>
      <w:r w:rsidDel="00000000" w:rsidR="00000000" w:rsidRPr="00000000">
        <w:rPr>
          <w:rFonts w:ascii="Arial" w:cs="Arial" w:eastAsia="Arial" w:hAnsi="Arial"/>
          <w:b w:val="1"/>
          <w:bCs w:val="1"/>
          <w:sz w:val="20"/>
          <w:szCs w:val="20"/>
          <w:highlight w:val="yellow"/>
          <w:rtl w:val="0"/>
        </w:rPr>
        <w:t xml:space="preserve">(</w:t>
      </w:r>
      <w:r w:rsidDel="00000000" w:rsidR="00000000" w:rsidRPr="00000000">
        <w:rPr>
          <w:rFonts w:ascii="Arial" w:cs="Arial" w:eastAsia="Arial" w:hAnsi="Arial"/>
          <w:color w:val="000000"/>
          <w:sz w:val="20"/>
          <w:szCs w:val="20"/>
          <w:highlight w:val="yellow"/>
          <w:rtl w:val="0"/>
        </w:rPr>
        <w:t xml:space="preserve">číslo bytu</w:t>
      </w:r>
      <w:r w:rsidDel="00000000" w:rsidR="00000000" w:rsidRPr="00000000">
        <w:rPr>
          <w:rFonts w:ascii="Arial" w:cs="Arial" w:eastAsia="Arial" w:hAnsi="Arial"/>
          <w:b w:val="1"/>
          <w:bCs w:val="1"/>
          <w:sz w:val="20"/>
          <w:szCs w:val="20"/>
          <w:highlight w:val="yellow"/>
          <w:rtl w:val="0"/>
        </w:rPr>
        <w:t xml:space="preserve">)</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81">
      <w:pPr>
        <w:spacing w:after="0" w:line="240" w:lineRule="auto"/>
        <w:ind w:left="851"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2">
      <w:pPr>
        <w:numPr>
          <w:ilvl w:val="0"/>
          <w:numId w:val="15"/>
        </w:numPr>
        <w:spacing w:after="0" w:line="240" w:lineRule="auto"/>
        <w:ind w:left="851" w:hanging="360"/>
        <w:jc w:val="both"/>
        <w:rPr>
          <w:rFonts w:ascii="Arial" w:cs="Arial" w:eastAsia="Arial" w:hAnsi="Arial"/>
          <w:sz w:val="20"/>
          <w:szCs w:val="20"/>
        </w:rPr>
      </w:pPr>
      <w:bookmarkStart w:colFirst="0" w:colLast="0" w:name="_heading=h.3lh4ftl30k5f" w:id="2"/>
      <w:bookmarkEnd w:id="2"/>
      <w:r w:rsidDel="00000000" w:rsidR="00000000" w:rsidRPr="00000000">
        <w:rPr>
          <w:rFonts w:ascii="Arial" w:cs="Arial" w:eastAsia="Arial" w:hAnsi="Arial"/>
          <w:sz w:val="20"/>
          <w:szCs w:val="20"/>
          <w:rtl w:val="0"/>
        </w:rPr>
        <w:t xml:space="preserve">doplatek Kupní ceny ve výši odpovídající </w:t>
      </w:r>
      <w:r w:rsidDel="00000000" w:rsidR="00000000" w:rsidRPr="00000000">
        <w:rPr>
          <w:rFonts w:ascii="Arial" w:cs="Arial" w:eastAsia="Arial" w:hAnsi="Arial"/>
          <w:b w:val="1"/>
          <w:bCs w:val="1"/>
          <w:sz w:val="20"/>
          <w:szCs w:val="20"/>
          <w:u w:val="single"/>
          <w:rtl w:val="0"/>
        </w:rPr>
        <w:t xml:space="preserve">90% Kupní ceny</w:t>
      </w:r>
      <w:r w:rsidDel="00000000" w:rsidR="00000000" w:rsidRPr="00000000">
        <w:rPr>
          <w:rFonts w:ascii="Arial" w:cs="Arial" w:eastAsia="Arial" w:hAnsi="Arial"/>
          <w:sz w:val="20"/>
          <w:szCs w:val="20"/>
          <w:rtl w:val="0"/>
        </w:rPr>
        <w:t xml:space="preserve"> bude Zájemcem zaplacen na Projektový účet pod variabilním symbolem </w:t>
      </w:r>
      <w:r w:rsidDel="00000000" w:rsidR="00000000" w:rsidRPr="00000000">
        <w:rPr>
          <w:rFonts w:ascii="Arial" w:cs="Arial" w:eastAsia="Arial" w:hAnsi="Arial"/>
          <w:b w:val="1"/>
          <w:bCs w:val="1"/>
          <w:sz w:val="20"/>
          <w:szCs w:val="20"/>
          <w:highlight w:val="yellow"/>
          <w:rtl w:val="0"/>
        </w:rPr>
        <w:t xml:space="preserve">(</w:t>
      </w:r>
      <w:r w:rsidDel="00000000" w:rsidR="00000000" w:rsidRPr="00000000">
        <w:rPr>
          <w:rFonts w:ascii="Arial" w:cs="Arial" w:eastAsia="Arial" w:hAnsi="Arial"/>
          <w:color w:val="000000"/>
          <w:sz w:val="20"/>
          <w:szCs w:val="20"/>
          <w:highlight w:val="yellow"/>
          <w:rtl w:val="0"/>
        </w:rPr>
        <w:t xml:space="preserve">číslo bytu</w:t>
      </w:r>
      <w:r w:rsidDel="00000000" w:rsidR="00000000" w:rsidRPr="00000000">
        <w:rPr>
          <w:rFonts w:ascii="Arial" w:cs="Arial" w:eastAsia="Arial" w:hAnsi="Arial"/>
          <w:b w:val="1"/>
          <w:bCs w:val="1"/>
          <w:sz w:val="20"/>
          <w:szCs w:val="20"/>
          <w:highlight w:val="yellow"/>
          <w:rtl w:val="0"/>
        </w:rPr>
        <w:t xml:space="preserve">)</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nejpozději do 10 (slovy: deseti) kalendářních dnů ode dne podpisu kupní smlouvy na Budoucí předmět převodu.</w:t>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left" w:leader="none" w:pos="180"/>
        </w:tabs>
        <w:spacing w:after="0" w:line="240" w:lineRule="auto"/>
        <w:ind w:left="426"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left" w:leader="none" w:pos="180"/>
        </w:tabs>
        <w:spacing w:after="0" w:line="240" w:lineRule="auto"/>
        <w:ind w:left="426" w:firstLine="0"/>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Veškeré platby Zájemce budou považovány za řádně uhrazené pouze za podmínky, že budou na příslušný bankovní účet připsány v plné výši nejpozději v poslední den lhůty splatnosti a budou identifikovány v této Smlouvě uvedenými variabilními symboly.</w:t>
      </w: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left" w:leader="none" w:pos="180"/>
        </w:tabs>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6">
      <w:pPr>
        <w:numPr>
          <w:ilvl w:val="0"/>
          <w:numId w:val="14"/>
        </w:numPr>
        <w:pBdr>
          <w:top w:space="0" w:sz="0" w:val="nil"/>
          <w:left w:space="0" w:sz="0" w:val="nil"/>
          <w:bottom w:space="0" w:sz="0" w:val="nil"/>
          <w:right w:space="0" w:sz="0" w:val="nil"/>
          <w:between w:space="0" w:sz="0" w:val="nil"/>
        </w:pBdr>
        <w:tabs>
          <w:tab w:val="left" w:leader="none" w:pos="180"/>
        </w:tabs>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Zájemce bere na vědomí, že návrh na vklad vlastnického práva k Budoucímu předmětu převodu spolu s kupní smlouvou s úředně ověřenými podpisy jejích účastníků nebude k příslušnému katastrálnímu úřadu podán dříve, než bude Zájemcem zaplacena celá Kupní cena Budoucího předmětu převodu. Správní poplatek za podaný návrh na vklad vlastnického práva k budoucímu předmětu převodu u Katastrálního úřadu se zavazuje zaplatit Budoucí Prodávající.</w:t>
      </w: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left" w:leader="none" w:pos="180"/>
        </w:tabs>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8">
      <w:pPr>
        <w:numPr>
          <w:ilvl w:val="0"/>
          <w:numId w:val="14"/>
        </w:numPr>
        <w:pBdr>
          <w:top w:space="0" w:sz="0" w:val="nil"/>
          <w:left w:space="0" w:sz="0" w:val="nil"/>
          <w:bottom w:space="0" w:sz="0" w:val="nil"/>
          <w:right w:space="0" w:sz="0" w:val="nil"/>
          <w:between w:space="0" w:sz="0" w:val="nil"/>
        </w:pBdr>
        <w:tabs>
          <w:tab w:val="left" w:leader="none" w:pos="180"/>
        </w:tabs>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Výše Kupní ceny dle čl. IV. odst. 1. této Smlouvy může být změněna pouze v případě, že:</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A">
      <w:pPr>
        <w:numPr>
          <w:ilvl w:val="0"/>
          <w:numId w:val="2"/>
        </w:numPr>
        <w:pBdr>
          <w:top w:space="0" w:sz="0" w:val="nil"/>
          <w:left w:space="0" w:sz="0" w:val="nil"/>
          <w:bottom w:space="0" w:sz="0" w:val="nil"/>
          <w:right w:space="0" w:sz="0" w:val="nil"/>
          <w:between w:space="0" w:sz="0" w:val="nil"/>
        </w:pBdr>
        <w:tabs>
          <w:tab w:val="left" w:leader="none" w:pos="180"/>
        </w:tabs>
        <w:spacing w:after="0" w:line="240" w:lineRule="auto"/>
        <w:ind w:left="1080"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 skutečná podlahová plocha bytu bude lišit o více jak +/- 5 % od předpokládané podlahové plochy bytu uvedené v této Smlouvě (viz. úprava Kupní ceny pro takový případ uvedená v návrhu SOSBK), </w:t>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left" w:leader="none" w:pos="180"/>
        </w:tabs>
        <w:spacing w:after="0" w:line="240" w:lineRule="auto"/>
        <w:ind w:left="1080"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a/nebo</w:t>
      </w:r>
    </w:p>
    <w:p w:rsidR="00000000" w:rsidDel="00000000" w:rsidP="00000000" w:rsidRDefault="00000000" w:rsidRPr="00000000" w14:paraId="0000008C">
      <w:pPr>
        <w:numPr>
          <w:ilvl w:val="0"/>
          <w:numId w:val="2"/>
        </w:numPr>
        <w:pBdr>
          <w:top w:space="0" w:sz="0" w:val="nil"/>
          <w:left w:space="0" w:sz="0" w:val="nil"/>
          <w:bottom w:space="0" w:sz="0" w:val="nil"/>
          <w:right w:space="0" w:sz="0" w:val="nil"/>
          <w:between w:space="0" w:sz="0" w:val="nil"/>
        </w:pBdr>
        <w:tabs>
          <w:tab w:val="left" w:leader="none" w:pos="180"/>
        </w:tabs>
        <w:spacing w:after="0" w:line="240" w:lineRule="auto"/>
        <w:ind w:left="1080"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budou realizovány tzv. klientské změny Budoucího předmětu převodu (rozsah možných klientských změn, jakož i časové a finanční podmínky realizace klientských změn budou Zájemci zaslány spolu s návrhem Smlouvy o smlouvě budoucí kupní).</w:t>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left" w:leader="none" w:pos="180"/>
        </w:tabs>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E">
      <w:pPr>
        <w:numPr>
          <w:ilvl w:val="0"/>
          <w:numId w:val="14"/>
        </w:numPr>
        <w:pBdr>
          <w:top w:space="0" w:sz="0" w:val="nil"/>
          <w:left w:space="0" w:sz="0" w:val="nil"/>
          <w:bottom w:space="0" w:sz="0" w:val="nil"/>
          <w:right w:space="0" w:sz="0" w:val="nil"/>
          <w:between w:space="0" w:sz="0" w:val="nil"/>
        </w:pBdr>
        <w:tabs>
          <w:tab w:val="left" w:leader="none" w:pos="180"/>
        </w:tabs>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Další podmínky budoucího převodu Budoucího předmětu převodu jsou vymezeny v Příloze č. 3, kterou tvoří závazné znění SOSBK. Doplnění a upřesnění SOSBK stran údajů v době podpisu této Smlouvy neznámých (nevyplněných) provede Budoucí prodávající; Zájemce je povinen k tomu poskytnout potřebnou součinnost.</w:t>
      </w: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left" w:leader="none" w:pos="180"/>
        </w:tabs>
        <w:spacing w:after="0" w:line="240" w:lineRule="auto"/>
        <w:ind w:hanging="180"/>
        <w:jc w:val="cente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left" w:leader="none" w:pos="180"/>
        </w:tabs>
        <w:spacing w:after="0" w:line="240" w:lineRule="auto"/>
        <w:ind w:hanging="18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Článek V.</w:t>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left" w:leader="none" w:pos="180"/>
        </w:tabs>
        <w:spacing w:after="0" w:line="240" w:lineRule="auto"/>
        <w:ind w:hanging="18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Nakládání s Rezervačním poplatkem, odstoupení od smlouvy</w:t>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3">
      <w:pPr>
        <w:numPr>
          <w:ilvl w:val="0"/>
          <w:numId w:val="16"/>
        </w:numPr>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Rezervační poplatek bude v případě uzavření SOSBK </w:t>
      </w:r>
      <w:r w:rsidDel="00000000" w:rsidR="00000000" w:rsidRPr="00000000">
        <w:rPr>
          <w:rFonts w:ascii="Arial" w:cs="Arial" w:eastAsia="Arial" w:hAnsi="Arial"/>
          <w:sz w:val="20"/>
          <w:szCs w:val="20"/>
          <w:rtl w:val="0"/>
        </w:rPr>
        <w:t xml:space="preserve">v plné výši započten jakožto záloha na kupní cenu Budoucího předmětu převodu.</w:t>
      </w:r>
      <w:r w:rsidDel="00000000" w:rsidR="00000000" w:rsidRPr="00000000">
        <w:rPr>
          <w:rtl w:val="0"/>
        </w:rPr>
      </w:r>
    </w:p>
    <w:p w:rsidR="00000000" w:rsidDel="00000000" w:rsidP="00000000" w:rsidRDefault="00000000" w:rsidRPr="00000000" w14:paraId="00000094">
      <w:pPr>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5">
      <w:pPr>
        <w:numPr>
          <w:ilvl w:val="0"/>
          <w:numId w:val="16"/>
        </w:numPr>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V případě, že k uzavření SOSBK v Rezervační lhůtě nedojde z důvodu/ů na straně Zájemce (za důvod neuzavření SOSBK na straně Zájemce se považuje i neposkytnutí součinnosti Zájemce dle čl. IV. odst. 5 této Smlouvy), zavazuje se Zájemce zaplatit Budoucímu prodávajícímu smluvní pokutu ve výši Rezervačního poplatku, když dle výslovné dohody Smluvních stran bude na úhradu smluvní pokuty dle tohoto odstavce použit Zájemcem zaplacený Rezervační poplatek.</w:t>
      </w:r>
      <w:r w:rsidDel="00000000" w:rsidR="00000000" w:rsidRPr="00000000">
        <w:rPr>
          <w:rtl w:val="0"/>
        </w:rPr>
      </w:r>
    </w:p>
    <w:p w:rsidR="00000000" w:rsidDel="00000000" w:rsidP="00000000" w:rsidRDefault="00000000" w:rsidRPr="00000000" w14:paraId="00000096">
      <w:pPr>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7">
      <w:pPr>
        <w:numPr>
          <w:ilvl w:val="0"/>
          <w:numId w:val="16"/>
        </w:numPr>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V případě, že k uzavření SOSBK v Rezervační lhůtě nedojde z důvodu/ů na straně Budoucího prodávajícího, je Budoucí prodávající povinen ve lhůtě 5 (slovy: pěti) pracovních dní ode dne uplynutí Rezervační lhůty vrátit Rezervační poplatek Zájemci na účet, ze kterého byl Rezervační poplatek odepsán ve prospěch účtu Budoucího prodávajícího. Smluvní strany se dohodly, že navrácením Rezervačního poplatku způsobem dle předchozí věty budou veškeré nároky Budoucího prodávající a Zájemce z této Smlouvy zcela vypořádány a vyrovnány. </w:t>
      </w:r>
      <w:r w:rsidDel="00000000" w:rsidR="00000000" w:rsidRPr="00000000">
        <w:rPr>
          <w:rtl w:val="0"/>
        </w:rPr>
      </w:r>
    </w:p>
    <w:p w:rsidR="00000000" w:rsidDel="00000000" w:rsidP="00000000" w:rsidRDefault="00000000" w:rsidRPr="00000000" w14:paraId="00000098">
      <w:pPr>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9">
      <w:pPr>
        <w:numPr>
          <w:ilvl w:val="0"/>
          <w:numId w:val="16"/>
        </w:numPr>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Zájemce prohlašuje, že smluvní pokutu ujednanou v této Smlouvě považuje za přiměřenou zajišťované povinnosti </w:t>
      </w:r>
      <w:r w:rsidDel="00000000" w:rsidR="00000000" w:rsidRPr="00000000">
        <w:rPr>
          <w:rFonts w:ascii="Arial" w:cs="Arial" w:eastAsia="Arial" w:hAnsi="Arial"/>
          <w:sz w:val="20"/>
          <w:szCs w:val="20"/>
          <w:rtl w:val="0"/>
        </w:rPr>
        <w:t xml:space="preserve">a vzdává se tímto práva domáhat se u soudu jejího snížení</w:t>
      </w:r>
      <w:r w:rsidDel="00000000" w:rsidR="00000000" w:rsidRPr="00000000">
        <w:rPr>
          <w:rFonts w:ascii="Arial" w:cs="Arial" w:eastAsia="Arial" w:hAnsi="Arial"/>
          <w:color w:val="000000"/>
          <w:sz w:val="20"/>
          <w:szCs w:val="20"/>
          <w:rtl w:val="0"/>
        </w:rPr>
        <w:t xml:space="preserve">. Ujednáním o smluvní pokutě není nijak dotčeno či omezeno právo Budoucího prodávajícího domáhat se náhrady škody v plném rozsahu. </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Článek VI.</w:t>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Ostatní ujednání a prohlášení</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9E">
      <w:pPr>
        <w:widowControl w:val="0"/>
        <w:numPr>
          <w:ilvl w:val="3"/>
          <w:numId w:val="16"/>
        </w:numPr>
        <w:pBdr>
          <w:top w:space="0" w:sz="0" w:val="nil"/>
          <w:left w:space="0" w:sz="0" w:val="nil"/>
          <w:bottom w:space="0" w:sz="0" w:val="nil"/>
          <w:right w:space="0" w:sz="0" w:val="nil"/>
          <w:between w:space="0" w:sz="0" w:val="nil"/>
        </w:pBdr>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Budoucí prodávající prohlašuje a Zájemce bere na vědomí, že v době uzavření kupní smlouvy nebudou na Budoucím předmětu převodu váznout žádná věcná břemena, dluhy, zástavní práva ani jiné právní povinnosti s výjimkou:</w:t>
      </w:r>
    </w:p>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left" w:leader="none" w:pos="180"/>
        </w:tabs>
        <w:spacing w:after="0" w:line="240" w:lineRule="auto"/>
        <w:ind w:left="1134"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0">
      <w:pPr>
        <w:numPr>
          <w:ilvl w:val="0"/>
          <w:numId w:val="6"/>
        </w:numPr>
        <w:pBdr>
          <w:top w:space="0" w:sz="0" w:val="nil"/>
          <w:left w:space="0" w:sz="0" w:val="nil"/>
          <w:bottom w:space="0" w:sz="0" w:val="nil"/>
          <w:right w:space="0" w:sz="0" w:val="nil"/>
          <w:between w:space="0" w:sz="0" w:val="nil"/>
        </w:pBdr>
        <w:tabs>
          <w:tab w:val="left" w:leader="none" w:pos="180"/>
        </w:tabs>
        <w:spacing w:after="0" w:line="240" w:lineRule="auto"/>
        <w:ind w:left="1134"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případných věcných břemen či jiných zatížení zřízených ve prospěch třetích osob, zejména provozovatelů inženýrských sítí a dodavatelů médií či ve prospěch sousedních nemovitostí, nezbytných či vhodných k řádnému provozování Nemovitostí či k zajištění přístupu k Nemovitostem (Budoucí prodávající prohlašuje, že případná věcná či jiná práva dle tohoto bodu podstatným způsobem neomezí Zájemce v běžném užívání Budoucího předmětu převodu);</w:t>
      </w:r>
    </w:p>
    <w:p w:rsidR="00000000" w:rsidDel="00000000" w:rsidP="00000000" w:rsidRDefault="00000000" w:rsidRPr="00000000" w14:paraId="000000A1">
      <w:pPr>
        <w:numPr>
          <w:ilvl w:val="0"/>
          <w:numId w:val="6"/>
        </w:numPr>
        <w:pBdr>
          <w:top w:space="0" w:sz="0" w:val="nil"/>
          <w:left w:space="0" w:sz="0" w:val="nil"/>
          <w:bottom w:space="0" w:sz="0" w:val="nil"/>
          <w:right w:space="0" w:sz="0" w:val="nil"/>
          <w:between w:space="0" w:sz="0" w:val="nil"/>
        </w:pBdr>
        <w:tabs>
          <w:tab w:val="left" w:leader="none" w:pos="180"/>
        </w:tabs>
        <w:spacing w:after="0" w:line="240" w:lineRule="auto"/>
        <w:ind w:left="1134"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zástavního práva smluvního a zápisů s ním souvisejících ve prospěch financující banky Budoucího prodávajícího, společnosti Česká spořitelna, a.s., IČO 452 44 782, se sídlem Praha 4, Olbrachtova 1929/62, PSČ 14000, jako zástavního věřitele; k výmazu těchto zatížení váznoucích na Budoucím předmětu převodu, dojde ve lhůtě uvedené v kupní smlouvě na Budoucí předmět převodu;</w:t>
      </w:r>
    </w:p>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left" w:leader="none" w:pos="180"/>
        </w:tabs>
        <w:spacing w:after="0" w:line="240" w:lineRule="auto"/>
        <w:ind w:left="1134"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a/nebo</w:t>
      </w:r>
    </w:p>
    <w:p w:rsidR="00000000" w:rsidDel="00000000" w:rsidP="00000000" w:rsidRDefault="00000000" w:rsidRPr="00000000" w14:paraId="000000A3">
      <w:pPr>
        <w:numPr>
          <w:ilvl w:val="0"/>
          <w:numId w:val="6"/>
        </w:numPr>
        <w:pBdr>
          <w:top w:space="0" w:sz="0" w:val="nil"/>
          <w:left w:space="0" w:sz="0" w:val="nil"/>
          <w:bottom w:space="0" w:sz="0" w:val="nil"/>
          <w:right w:space="0" w:sz="0" w:val="nil"/>
          <w:between w:space="0" w:sz="0" w:val="nil"/>
        </w:pBdr>
        <w:tabs>
          <w:tab w:val="left" w:leader="none" w:pos="180"/>
        </w:tabs>
        <w:spacing w:after="0" w:line="240" w:lineRule="auto"/>
        <w:ind w:left="1134"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případného zástavního práva smluvního a zápisů a omezením s ním souvisejících zřízených ve prospěch Úvěrující banky Zájemce k zajištění úvěru poskytnutého Úvěrující bankou Zájemce na úhradu Kupní ceny nebo její části (bude-li úhrada doplatku Kupní ceny Zájemcem financována prostřednictvím hypotečního úvěru).</w:t>
      </w:r>
    </w:p>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left" w:leader="none" w:pos="180"/>
        </w:tabs>
        <w:spacing w:after="0" w:line="240" w:lineRule="auto"/>
        <w:ind w:left="72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5">
      <w:pPr>
        <w:numPr>
          <w:ilvl w:val="3"/>
          <w:numId w:val="16"/>
        </w:numPr>
        <w:pBdr>
          <w:top w:space="0" w:sz="0" w:val="nil"/>
          <w:left w:space="0" w:sz="0" w:val="nil"/>
          <w:bottom w:space="0" w:sz="0" w:val="nil"/>
          <w:right w:space="0" w:sz="0" w:val="nil"/>
          <w:between w:space="0" w:sz="0" w:val="nil"/>
        </w:pBdr>
        <w:tabs>
          <w:tab w:val="left" w:leader="none" w:pos="180"/>
        </w:tabs>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Budoucí prodávající je oprávněn postoupit svá práva a povinnosti z této Smlouvy </w:t>
      </w:r>
      <w:r w:rsidDel="00000000" w:rsidR="00000000" w:rsidRPr="00000000">
        <w:rPr>
          <w:rFonts w:ascii="Arial" w:cs="Arial" w:eastAsia="Arial" w:hAnsi="Arial"/>
          <w:sz w:val="20"/>
          <w:szCs w:val="20"/>
          <w:rtl w:val="0"/>
        </w:rPr>
        <w:t xml:space="preserve">na třetí osobu, </w:t>
      </w:r>
      <w:r w:rsidDel="00000000" w:rsidR="00000000" w:rsidRPr="00000000">
        <w:rPr>
          <w:rFonts w:ascii="Arial" w:cs="Arial" w:eastAsia="Arial" w:hAnsi="Arial"/>
          <w:sz w:val="20"/>
          <w:szCs w:val="20"/>
          <w:highlight w:val="white"/>
          <w:rtl w:val="0"/>
        </w:rPr>
        <w:t xml:space="preserve">pokud mu k tomu Zájemce dá předchozí písemný souhlas, kdy Budoucí prodávající v takovém případě bude ručit za splnění závazků takové osoby vůči Zájemci</w:t>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color w:val="000000"/>
          <w:sz w:val="20"/>
          <w:szCs w:val="20"/>
          <w:rtl w:val="0"/>
        </w:rPr>
        <w:t xml:space="preserve"> Postoupení je třeba neprodleně Zájemci oznámit.</w:t>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left" w:leader="none" w:pos="180"/>
        </w:tabs>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7">
      <w:pPr>
        <w:numPr>
          <w:ilvl w:val="3"/>
          <w:numId w:val="16"/>
        </w:numPr>
        <w:pBdr>
          <w:top w:space="0" w:sz="0" w:val="nil"/>
          <w:left w:space="0" w:sz="0" w:val="nil"/>
          <w:bottom w:space="0" w:sz="0" w:val="nil"/>
          <w:right w:space="0" w:sz="0" w:val="nil"/>
          <w:between w:space="0" w:sz="0" w:val="nil"/>
        </w:pBdr>
        <w:tabs>
          <w:tab w:val="left" w:leader="none" w:pos="180"/>
        </w:tabs>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Zájemce je oprávněn postoupit svá práva a povinnosti z této Smlouvy na třetí osobu, pokud mu k tomu Budoucí prodávající dá předchozí písemný souhlas, kdy Zájemce v takovém případě bude ručit za splnění závazků takové osoby vůči Budoucímu prodávajícímu. Postoupení je třeba neprodleně Budoucímu prodávajícímu oznámit.</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9">
      <w:pPr>
        <w:numPr>
          <w:ilvl w:val="3"/>
          <w:numId w:val="16"/>
        </w:numPr>
        <w:pBdr>
          <w:top w:space="0" w:sz="0" w:val="nil"/>
          <w:left w:space="0" w:sz="0" w:val="nil"/>
          <w:bottom w:space="0" w:sz="0" w:val="nil"/>
          <w:right w:space="0" w:sz="0" w:val="nil"/>
          <w:between w:space="0" w:sz="0" w:val="nil"/>
        </w:pBdr>
        <w:tabs>
          <w:tab w:val="left" w:leader="none" w:pos="180"/>
        </w:tabs>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Zájemce prohlašuje, že je schopen svými prostředky či cizími prostředky (tj. formou čerpání zajištěného či nezajištěného úvěru) financovat kupní cenu Budoucího předmětu převodu. Zájemce prohlašuje, že k uzavření této Smlouvy a k nakládání s peněžními prostředky k úhradě Kupní ceny nebo jejích částí z vlastních prostředků nepotřebuje souhlas žádné třetí osoby.</w:t>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0" w:lineRule="auto"/>
        <w:ind w:left="720" w:firstLine="0"/>
        <w:rPr>
          <w:color w:val="000000"/>
          <w:sz w:val="20"/>
          <w:szCs w:val="20"/>
        </w:rPr>
      </w:pPr>
      <w:r w:rsidDel="00000000" w:rsidR="00000000" w:rsidRPr="00000000">
        <w:rPr>
          <w:rtl w:val="0"/>
        </w:rPr>
      </w:r>
    </w:p>
    <w:p w:rsidR="00000000" w:rsidDel="00000000" w:rsidP="00000000" w:rsidRDefault="00000000" w:rsidRPr="00000000" w14:paraId="000000AB">
      <w:pPr>
        <w:numPr>
          <w:ilvl w:val="3"/>
          <w:numId w:val="16"/>
        </w:numPr>
        <w:pBdr>
          <w:top w:space="0" w:sz="0" w:val="nil"/>
          <w:left w:space="0" w:sz="0" w:val="nil"/>
          <w:bottom w:space="0" w:sz="0" w:val="nil"/>
          <w:right w:space="0" w:sz="0" w:val="nil"/>
          <w:between w:space="0" w:sz="0" w:val="nil"/>
        </w:pBdr>
        <w:tabs>
          <w:tab w:val="left" w:leader="none" w:pos="180"/>
        </w:tabs>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Zájemce se zavazuje bez odkladu písemně sdělit Budoucímu prodávajícímu všechny skutečnosti, které mají nebo budou mít rozhodný význam pro uzavření SOSBK (získání úvěru, změna rodinného stavu aj. poměrů).</w:t>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D">
      <w:pPr>
        <w:numPr>
          <w:ilvl w:val="3"/>
          <w:numId w:val="16"/>
        </w:numPr>
        <w:pBdr>
          <w:top w:space="0" w:sz="0" w:val="nil"/>
          <w:left w:space="0" w:sz="0" w:val="nil"/>
          <w:bottom w:space="0" w:sz="0" w:val="nil"/>
          <w:right w:space="0" w:sz="0" w:val="nil"/>
          <w:between w:space="0" w:sz="0" w:val="nil"/>
        </w:pBdr>
        <w:tabs>
          <w:tab w:val="left" w:leader="none" w:pos="180"/>
        </w:tabs>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Zájemce je srozuměn s tím, že vizualizace exteriéru a interiéru Budovy, příp. Jednotky a návrhu zařízení interiéru Budovy a/nebo Jednotky jsou pouze ilustrativní a jedná se o marketingovou vizualizaci projektu. </w:t>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F">
      <w:pPr>
        <w:numPr>
          <w:ilvl w:val="3"/>
          <w:numId w:val="16"/>
        </w:numPr>
        <w:pBdr>
          <w:top w:space="0" w:sz="0" w:val="nil"/>
          <w:left w:space="0" w:sz="0" w:val="nil"/>
          <w:bottom w:space="0" w:sz="0" w:val="nil"/>
          <w:right w:space="0" w:sz="0" w:val="nil"/>
          <w:between w:space="0" w:sz="0" w:val="nil"/>
        </w:pBdr>
        <w:tabs>
          <w:tab w:val="left" w:leader="none" w:pos="180"/>
        </w:tabs>
        <w:spacing w:after="0" w:line="240" w:lineRule="auto"/>
        <w:ind w:left="426" w:hanging="360"/>
        <w:jc w:val="both"/>
        <w:rPr>
          <w:rFonts w:ascii="Arial" w:cs="Arial" w:eastAsia="Arial" w:hAnsi="Arial"/>
          <w:color w:val="000000"/>
          <w:sz w:val="20"/>
          <w:szCs w:val="20"/>
        </w:rPr>
      </w:pPr>
      <w:bookmarkStart w:colFirst="0" w:colLast="0" w:name="_heading=h.165nsnleaue6" w:id="3"/>
      <w:bookmarkEnd w:id="3"/>
      <w:r w:rsidDel="00000000" w:rsidR="00000000" w:rsidRPr="00000000">
        <w:rPr>
          <w:rFonts w:ascii="Arial" w:cs="Arial" w:eastAsia="Arial" w:hAnsi="Arial"/>
          <w:color w:val="000000"/>
          <w:sz w:val="20"/>
          <w:szCs w:val="20"/>
          <w:rtl w:val="0"/>
        </w:rPr>
        <w:t xml:space="preserve">Zájemce není oprávněn jednostranně započíst jakoukoliv splatnou či nesplatnou pohledávku vůči Budoucímu prodávajícímu.</w:t>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1">
      <w:pPr>
        <w:numPr>
          <w:ilvl w:val="3"/>
          <w:numId w:val="16"/>
        </w:numPr>
        <w:pBdr>
          <w:top w:space="0" w:sz="0" w:val="nil"/>
          <w:left w:space="0" w:sz="0" w:val="nil"/>
          <w:bottom w:space="0" w:sz="0" w:val="nil"/>
          <w:right w:space="0" w:sz="0" w:val="nil"/>
          <w:between w:space="0" w:sz="0" w:val="nil"/>
        </w:pBdr>
        <w:tabs>
          <w:tab w:val="left" w:leader="none" w:pos="180"/>
        </w:tabs>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Ustanovení tohoto odstavce se použije pouze pokud na straně Zájemce vystupuje spotřebitel:</w:t>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line="240" w:lineRule="auto"/>
        <w:ind w:left="993"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3">
      <w:pPr>
        <w:numPr>
          <w:ilvl w:val="1"/>
          <w:numId w:val="17"/>
        </w:numPr>
        <w:pBdr>
          <w:top w:space="0" w:sz="0" w:val="nil"/>
          <w:left w:space="0" w:sz="0" w:val="nil"/>
          <w:bottom w:space="0" w:sz="0" w:val="nil"/>
          <w:right w:space="0" w:sz="0" w:val="nil"/>
          <w:between w:space="0" w:sz="0" w:val="nil"/>
        </w:pBdr>
        <w:spacing w:after="0" w:line="240" w:lineRule="auto"/>
        <w:ind w:left="993"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údaje, které je Budoucí prodávající povinen sdělit a sdělil Zájemci jako spotřebiteli před uzavřením Smlouvy, jsou obsahem této Smlouvy či je na ně ve Smlouvě odkazováno. Budoucí prodávající je Zájemci sdělil ústně a/nebo poskytnutím textu Smlouvy a jejích příloh v předstihu před jejím uzavřením v elektronické podobě. Zájemce prohlašuje, že měl možnost se v dostatečném předstihu před jejím uzavřením seznámit se zněním této Smlouvy včetně jejích příloh;</w:t>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0" w:line="240" w:lineRule="auto"/>
        <w:ind w:left="993"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5">
      <w:pPr>
        <w:numPr>
          <w:ilvl w:val="1"/>
          <w:numId w:val="17"/>
        </w:numPr>
        <w:pBdr>
          <w:top w:space="0" w:sz="0" w:val="nil"/>
          <w:left w:space="0" w:sz="0" w:val="nil"/>
          <w:bottom w:space="0" w:sz="0" w:val="nil"/>
          <w:right w:space="0" w:sz="0" w:val="nil"/>
          <w:between w:space="0" w:sz="0" w:val="nil"/>
        </w:pBdr>
        <w:spacing w:after="0" w:line="240" w:lineRule="auto"/>
        <w:ind w:left="993"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byla-li tato Smlouva uzavřena mimo obchodní prostory Budoucího prodávajícího nebo distančním způsobem, je Zájemce oprávněn od této Smlouvy písemně odstoupit do 14 (slovy: čtrnácti) dnů od jejího uzavření bez udání důvodu. Toto právo na odstoupení je třeba uplatnit u Budoucího prodávajícího formou jednoznačného písemného prohlášení (vzorový formulář pro odstoupení od této Smlouvy je nedílnou součástí této Smlouvy jako její </w:t>
      </w:r>
      <w:r w:rsidDel="00000000" w:rsidR="00000000" w:rsidRPr="00000000">
        <w:rPr>
          <w:rFonts w:ascii="Arial" w:cs="Arial" w:eastAsia="Arial" w:hAnsi="Arial"/>
          <w:color w:val="000000"/>
          <w:sz w:val="20"/>
          <w:szCs w:val="20"/>
          <w:u w:val="single"/>
          <w:rtl w:val="0"/>
        </w:rPr>
        <w:t xml:space="preserve">Příloha č. 4</w:t>
      </w:r>
      <w:r w:rsidDel="00000000" w:rsidR="00000000" w:rsidRPr="00000000">
        <w:rPr>
          <w:rFonts w:ascii="Arial" w:cs="Arial" w:eastAsia="Arial" w:hAnsi="Arial"/>
          <w:color w:val="000000"/>
          <w:sz w:val="20"/>
          <w:szCs w:val="20"/>
          <w:rtl w:val="0"/>
        </w:rPr>
        <w:t xml:space="preserve">). Pro dodržení lhůty pro odstoupení je nutné odeslat sdělení o uplatnění práva odstoupit od této Smlouvy před uplynutím výše uvedené lhůty na poštovní či emailovou adresu Budoucího prodávajícího uvedenou v záhlaví této Smlouvy. </w:t>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0" w:line="240" w:lineRule="auto"/>
        <w:ind w:left="993"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0" w:line="240" w:lineRule="auto"/>
        <w:ind w:left="993"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Odstoupí-li Zájemce od Smlouvy, vrátí mu Budoucí prodávající bez zbytečného odkladu, nejpozději do 14 (slovy: čtrnácti) dnů od odstoupení od této Smlouvy, peněžní prostředky, které od něho na základě této Smlouvy přijal, a to na účet, ze kterého byly peněžní prostředky odepsány ve prospěch účtu Budoucího prodávajícího;</w:t>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0" w:line="240" w:lineRule="auto"/>
        <w:ind w:left="993"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9">
      <w:pPr>
        <w:numPr>
          <w:ilvl w:val="1"/>
          <w:numId w:val="17"/>
        </w:numPr>
        <w:pBdr>
          <w:top w:space="0" w:sz="0" w:val="nil"/>
          <w:left w:space="0" w:sz="0" w:val="nil"/>
          <w:bottom w:space="0" w:sz="0" w:val="nil"/>
          <w:right w:space="0" w:sz="0" w:val="nil"/>
          <w:between w:space="0" w:sz="0" w:val="nil"/>
        </w:pBdr>
        <w:spacing w:after="0" w:line="240" w:lineRule="auto"/>
        <w:ind w:left="993"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dojde-li mezi stranami ke sporu, má Zájemce právo na jeho mimosoudní řešení; návrh na mimosoudní řešení sporu podle zákona č. 634/1992 Sb., o ochraně spotřebitele, se podává u České obchodní inspekce; veškeré podrobnosti k mimosoudnímu řešení jsou uvedeny na webových stránkách České obchodní inspekce </w:t>
      </w:r>
      <w:hyperlink r:id="rId8">
        <w:r w:rsidDel="00000000" w:rsidR="00000000" w:rsidRPr="00000000">
          <w:rPr>
            <w:rFonts w:ascii="Arial" w:cs="Arial" w:eastAsia="Arial" w:hAnsi="Arial"/>
            <w:color w:val="0563c1"/>
            <w:sz w:val="20"/>
            <w:szCs w:val="20"/>
            <w:u w:val="single"/>
            <w:rtl w:val="0"/>
          </w:rPr>
          <w:t xml:space="preserve">www.coi.cz</w:t>
        </w:r>
      </w:hyperlink>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0" w:line="240" w:lineRule="auto"/>
        <w:ind w:left="993"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B">
      <w:pPr>
        <w:numPr>
          <w:ilvl w:val="1"/>
          <w:numId w:val="17"/>
        </w:numPr>
        <w:pBdr>
          <w:top w:space="0" w:sz="0" w:val="nil"/>
          <w:left w:space="0" w:sz="0" w:val="nil"/>
          <w:bottom w:space="0" w:sz="0" w:val="nil"/>
          <w:right w:space="0" w:sz="0" w:val="nil"/>
          <w:between w:space="0" w:sz="0" w:val="nil"/>
        </w:pBdr>
        <w:spacing w:after="0" w:line="240" w:lineRule="auto"/>
        <w:ind w:left="993"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Budoucí prodávající pro úplnost uvádějí následující údaje: </w:t>
      </w:r>
    </w:p>
    <w:p w:rsidR="00000000" w:rsidDel="00000000" w:rsidP="00000000" w:rsidRDefault="00000000" w:rsidRPr="00000000" w14:paraId="000000BC">
      <w:pPr>
        <w:numPr>
          <w:ilvl w:val="2"/>
          <w:numId w:val="18"/>
        </w:numPr>
        <w:pBdr>
          <w:top w:space="0" w:sz="0" w:val="nil"/>
          <w:left w:space="0" w:sz="0" w:val="nil"/>
          <w:bottom w:space="0" w:sz="0" w:val="nil"/>
          <w:right w:space="0" w:sz="0" w:val="nil"/>
          <w:between w:space="0" w:sz="0" w:val="nil"/>
        </w:pBdr>
        <w:spacing w:after="0" w:line="240" w:lineRule="auto"/>
        <w:ind w:left="1560" w:hanging="18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identifikační a kontaktní údaje Budoucího prodávajícího jsou uvedeny v záhlaví této Smlouvy;</w:t>
      </w:r>
    </w:p>
    <w:p w:rsidR="00000000" w:rsidDel="00000000" w:rsidP="00000000" w:rsidRDefault="00000000" w:rsidRPr="00000000" w14:paraId="000000BD">
      <w:pPr>
        <w:numPr>
          <w:ilvl w:val="2"/>
          <w:numId w:val="18"/>
        </w:numPr>
        <w:pBdr>
          <w:top w:space="0" w:sz="0" w:val="nil"/>
          <w:left w:space="0" w:sz="0" w:val="nil"/>
          <w:bottom w:space="0" w:sz="0" w:val="nil"/>
          <w:right w:space="0" w:sz="0" w:val="nil"/>
          <w:between w:space="0" w:sz="0" w:val="nil"/>
        </w:pBdr>
        <w:spacing w:after="0" w:line="240" w:lineRule="auto"/>
        <w:ind w:left="1560" w:hanging="18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činnost Budoucího prodávajícího spočívá mimo jiné v provádění případných a dokončovacích stavebních prací, specializovaných stavebních činností, a v nákupu, prodeji, správě a údržbě nemovitostí; </w:t>
      </w:r>
    </w:p>
    <w:p w:rsidR="00000000" w:rsidDel="00000000" w:rsidP="00000000" w:rsidRDefault="00000000" w:rsidRPr="00000000" w14:paraId="000000BE">
      <w:pPr>
        <w:numPr>
          <w:ilvl w:val="2"/>
          <w:numId w:val="18"/>
        </w:numPr>
        <w:pBdr>
          <w:top w:space="0" w:sz="0" w:val="nil"/>
          <w:left w:space="0" w:sz="0" w:val="nil"/>
          <w:bottom w:space="0" w:sz="0" w:val="nil"/>
          <w:right w:space="0" w:sz="0" w:val="nil"/>
          <w:between w:space="0" w:sz="0" w:val="nil"/>
        </w:pBdr>
        <w:spacing w:after="0" w:line="240" w:lineRule="auto"/>
        <w:ind w:left="1560" w:hanging="18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kupní cena Budoucího předmětu převodu, jakož i způsob její úhrady (a to i formou záloh na kupní cenu), jsou upraveny výše v článku IV. této Smlouvy; kupní cena Budoucího předmětu převodu je sjednána včetně všech daní, poplatků a jiných obdobných peněžitých plnění, není-li v této Smlouvě výslovně uvedeno jinak;</w:t>
      </w:r>
    </w:p>
    <w:p w:rsidR="00000000" w:rsidDel="00000000" w:rsidP="00000000" w:rsidRDefault="00000000" w:rsidRPr="00000000" w14:paraId="000000BF">
      <w:pPr>
        <w:numPr>
          <w:ilvl w:val="2"/>
          <w:numId w:val="18"/>
        </w:numPr>
        <w:pBdr>
          <w:top w:space="0" w:sz="0" w:val="nil"/>
          <w:left w:space="0" w:sz="0" w:val="nil"/>
          <w:bottom w:space="0" w:sz="0" w:val="nil"/>
          <w:right w:space="0" w:sz="0" w:val="nil"/>
          <w:between w:space="0" w:sz="0" w:val="nil"/>
        </w:pBdr>
        <w:spacing w:after="0" w:line="240" w:lineRule="auto"/>
        <w:ind w:left="1560" w:hanging="18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 souvislosti s realizací převodu nebudou kromě kupní ceny a záloh na ni, účtovány žádné další náklady na dodání nemovitosti, není-li v této Smlouvě uvedeno jinak; </w:t>
      </w:r>
    </w:p>
    <w:p w:rsidR="00000000" w:rsidDel="00000000" w:rsidP="00000000" w:rsidRDefault="00000000" w:rsidRPr="00000000" w14:paraId="000000C0">
      <w:pPr>
        <w:numPr>
          <w:ilvl w:val="2"/>
          <w:numId w:val="18"/>
        </w:numPr>
        <w:pBdr>
          <w:top w:space="0" w:sz="0" w:val="nil"/>
          <w:left w:space="0" w:sz="0" w:val="nil"/>
          <w:bottom w:space="0" w:sz="0" w:val="nil"/>
          <w:right w:space="0" w:sz="0" w:val="nil"/>
          <w:between w:space="0" w:sz="0" w:val="nil"/>
        </w:pBdr>
        <w:spacing w:after="0" w:line="240" w:lineRule="auto"/>
        <w:ind w:left="1560" w:hanging="18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údaje o právech vznikajících z vadného plnění a podmínky pro uplatňování těchto práv upravují obecně závazné právní předpisy (zejména občanský zákoník, příp. zákon č. 634/1992 Sb., o ochraně spotřebitele);</w:t>
      </w:r>
    </w:p>
    <w:p w:rsidR="00000000" w:rsidDel="00000000" w:rsidP="00000000" w:rsidRDefault="00000000" w:rsidRPr="00000000" w14:paraId="000000C1">
      <w:pPr>
        <w:numPr>
          <w:ilvl w:val="2"/>
          <w:numId w:val="18"/>
        </w:numPr>
        <w:pBdr>
          <w:top w:space="0" w:sz="0" w:val="nil"/>
          <w:left w:space="0" w:sz="0" w:val="nil"/>
          <w:bottom w:space="0" w:sz="0" w:val="nil"/>
          <w:right w:space="0" w:sz="0" w:val="nil"/>
          <w:between w:space="0" w:sz="0" w:val="nil"/>
        </w:pBdr>
        <w:spacing w:after="0" w:line="240" w:lineRule="auto"/>
        <w:ind w:left="1560" w:hanging="18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tato Smlouva je uzavírána na dobu určitou, a to na dobu trvání Rezervační lhůty;</w:t>
      </w:r>
    </w:p>
    <w:p w:rsidR="00000000" w:rsidDel="00000000" w:rsidP="00000000" w:rsidRDefault="00000000" w:rsidRPr="00000000" w14:paraId="000000C2">
      <w:pPr>
        <w:numPr>
          <w:ilvl w:val="2"/>
          <w:numId w:val="18"/>
        </w:numPr>
        <w:pBdr>
          <w:top w:space="0" w:sz="0" w:val="nil"/>
          <w:left w:space="0" w:sz="0" w:val="nil"/>
          <w:bottom w:space="0" w:sz="0" w:val="nil"/>
          <w:right w:space="0" w:sz="0" w:val="nil"/>
          <w:between w:space="0" w:sz="0" w:val="nil"/>
        </w:pBdr>
        <w:spacing w:after="0" w:line="240" w:lineRule="auto"/>
        <w:ind w:left="1560" w:hanging="18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náklady na prostředky komunikace na dálku určují subjekty, které poskytují služby prostředků komunikace na dálku a neliší se od základní sazby; jsou-li jakékoli informace poskytovány prostřednictvím komunikace na dálku, případně je-li Smlouva uzavírána distančním způsobem, neúčtuje si Budoucí prodávající za tento způsob komunikace žádné zvláštní poplatky; poplatky za využití prostředků komunikace na dálku (telefon, e-mail, datová schránka apod.) účtované Zájemci jeho poskytovatelem telekomunikačních služeb hradí Zájemce.</w:t>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0" w:line="240" w:lineRule="auto"/>
        <w:ind w:left="156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4">
      <w:pPr>
        <w:numPr>
          <w:ilvl w:val="3"/>
          <w:numId w:val="16"/>
        </w:numPr>
        <w:pBdr>
          <w:top w:space="0" w:sz="0" w:val="nil"/>
          <w:left w:space="0" w:sz="0" w:val="nil"/>
          <w:bottom w:space="0" w:sz="0" w:val="nil"/>
          <w:right w:space="0" w:sz="0" w:val="nil"/>
          <w:between w:space="0" w:sz="0" w:val="nil"/>
        </w:pBdr>
        <w:tabs>
          <w:tab w:val="left" w:leader="none" w:pos="180"/>
        </w:tabs>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Zájemce bere na vědomí, že při plnění této Smlouvy přijde Budoucí prodávající v roli správce do styku s jeho osobními údaji (jak jsou uvedeny v záhlaví této Smlouvy, dále údaje o bankovním spojení, rodné číslo, rodinný stav), případně budou tyto údaje jako správce zpracovávat, a to po dobu aplikace této Smlouvy a v rozsahu daném touto Smlouvou. Budoucí prodávající nakládá s osobními údaji Zájemce v souladu s GDPR (nařízení Evropského parlamentu a Rady (EU) č. 2016/679 o ochraně fyzických osob v souvislosti se zpracováním osobních údajů a o volném pohybu těchto údajů). Zpracování nezbytných osobních údajů Zájemce Budoucím prodávajícím je vázané zejména na vedení jednání o uzavření Smlouvy, na plnění a naplnění její podstaty a veškerých věcí z ní vyplývajících včetně finančního vyrovnání (např. předávání informací, identifikace osoby pro účely zpracování a uzavření smluvní dokumentace týkající se převodu Budoucího předmětu převodu) a na vedení jednání s úřady. Zpracování osobních údajů může probíhat též za podpory třetí strany coby zpracovatele. Subjekt údajů má zejména právo požadovat od správce přístup k osobním údajům týkajících se subjektu údajů, jejich opravu nebo výmaz, popřípadě omezení zpracování, a vznést námitku proti zpracování, jakož i právo na přenositelnost údajů, právo podat stížnost u Úřadu pro ochranu osobních údajů. Více informací o právech subjektu údajů je k dispozici na internetových stránkách Úřadu pro ochranu osobních údajů (</w:t>
      </w:r>
      <w:hyperlink r:id="rId9">
        <w:r w:rsidDel="00000000" w:rsidR="00000000" w:rsidRPr="00000000">
          <w:rPr>
            <w:rFonts w:ascii="Arial" w:cs="Arial" w:eastAsia="Arial" w:hAnsi="Arial"/>
            <w:color w:val="0563c1"/>
            <w:sz w:val="20"/>
            <w:szCs w:val="20"/>
            <w:u w:val="single"/>
            <w:rtl w:val="0"/>
          </w:rPr>
          <w:t xml:space="preserve">www.uoou.cz</w:t>
        </w:r>
      </w:hyperlink>
      <w:r w:rsidDel="00000000" w:rsidR="00000000" w:rsidRPr="00000000">
        <w:rPr>
          <w:rFonts w:ascii="Arial" w:cs="Arial" w:eastAsia="Arial" w:hAnsi="Arial"/>
          <w:color w:val="000000"/>
          <w:sz w:val="20"/>
          <w:szCs w:val="20"/>
          <w:rtl w:val="0"/>
        </w:rPr>
        <w:t xml:space="preserve">). Zájemce může veškerá svá práva spojená s ochranou osobních údajů uplatňovat u Budoucího prodávajícího zasláním podnětu na emailovou adresu uvedenou v záhlaví této Smlouvy.</w:t>
      </w:r>
    </w:p>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left" w:leader="none" w:pos="180"/>
        </w:tabs>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6">
      <w:pPr>
        <w:numPr>
          <w:ilvl w:val="3"/>
          <w:numId w:val="16"/>
        </w:numPr>
        <w:pBdr>
          <w:top w:space="0" w:sz="0" w:val="nil"/>
          <w:left w:space="0" w:sz="0" w:val="nil"/>
          <w:bottom w:space="0" w:sz="0" w:val="nil"/>
          <w:right w:space="0" w:sz="0" w:val="nil"/>
          <w:between w:space="0" w:sz="0" w:val="nil"/>
        </w:pBdr>
        <w:tabs>
          <w:tab w:val="left" w:leader="none" w:pos="180"/>
        </w:tabs>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Zájemce, je-li fyzickou osobou, tímto v souladu se zák. č. 133/2000 Sb., o evidenci obyvatel a rodných číslech a o změně některých zákonů, v platném znění, výslovně souhlasí s využitím svého rodného čísla po účely této Smlouvy a smluv navazujících (tedy smluvní dokumentace související s převodem vlastnického práva k Budoucímu předmětu převodu) a s předáním svého rodného čísla zhotoviteli smluvní dokumentace související s převodem vlastnického práva k Budoucímu předmětu převodu.</w:t>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Článek VII.</w:t>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Závěrečná ustanovení</w:t>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B">
      <w:pPr>
        <w:numPr>
          <w:ilvl w:val="0"/>
          <w:numId w:val="3"/>
        </w:numPr>
        <w:pBdr>
          <w:top w:space="0" w:sz="0" w:val="nil"/>
          <w:left w:space="0" w:sz="0" w:val="nil"/>
          <w:bottom w:space="0" w:sz="0" w:val="nil"/>
          <w:right w:space="0" w:sz="0" w:val="nil"/>
          <w:between w:space="0" w:sz="0" w:val="nil"/>
        </w:pBdr>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Tato smlouva se uzavírá na dobu určitou, a to na dobu trvání Rezervační lhůty. </w:t>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D">
      <w:pPr>
        <w:numPr>
          <w:ilvl w:val="0"/>
          <w:numId w:val="3"/>
        </w:numPr>
        <w:pBdr>
          <w:top w:space="0" w:sz="0" w:val="nil"/>
          <w:left w:space="0" w:sz="0" w:val="nil"/>
          <w:bottom w:space="0" w:sz="0" w:val="nil"/>
          <w:right w:space="0" w:sz="0" w:val="nil"/>
          <w:between w:space="0" w:sz="0" w:val="nil"/>
        </w:pBdr>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Tato Smlouva byla sepsána v/ve 2 stejnopisech s platností originálu s tím, že každá ze Smluvních stran obdrží 1 stejnopis. </w:t>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F">
      <w:pPr>
        <w:numPr>
          <w:ilvl w:val="0"/>
          <w:numId w:val="3"/>
        </w:numPr>
        <w:pBdr>
          <w:top w:space="0" w:sz="0" w:val="nil"/>
          <w:left w:space="0" w:sz="0" w:val="nil"/>
          <w:bottom w:space="0" w:sz="0" w:val="nil"/>
          <w:right w:space="0" w:sz="0" w:val="nil"/>
          <w:between w:space="0" w:sz="0" w:val="nil"/>
        </w:pBdr>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Právní vztahy v této Smlouvě výslovně neupravené se řídí zákonem č. 89/2012Sb., občanský zákoník, ve znění pozdějších předpisů. Rozhodným je tedy právní řád České republiky. Případné spory plynoucí z této Smlouvy budou rozhodovány věcně a místně příslušným soudem České republiky. </w:t>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1">
      <w:pPr>
        <w:numPr>
          <w:ilvl w:val="0"/>
          <w:numId w:val="3"/>
        </w:numPr>
        <w:pBdr>
          <w:top w:space="0" w:sz="0" w:val="nil"/>
          <w:left w:space="0" w:sz="0" w:val="nil"/>
          <w:bottom w:space="0" w:sz="0" w:val="nil"/>
          <w:right w:space="0" w:sz="0" w:val="nil"/>
          <w:between w:space="0" w:sz="0" w:val="nil"/>
        </w:pBdr>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Nedílnou součástí této Smlouvy jsou její přílohy: </w:t>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Příloha č. 1 – list vlastnictví č. 1048, pro katastrální území Velvary, obec Velvary, okres Kladno,</w:t>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Příloha č. 2 – karta Jednotky, schéma sklepních kójí a parkovacích stání,</w:t>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Příloha č. 3 – standardy, </w:t>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Příloha č. </w:t>
      </w:r>
      <w:r w:rsidDel="00000000" w:rsidR="00000000" w:rsidRPr="00000000">
        <w:rPr>
          <w:rFonts w:ascii="Arial" w:cs="Arial" w:eastAsia="Arial" w:hAnsi="Arial"/>
          <w:sz w:val="20"/>
          <w:szCs w:val="20"/>
          <w:rtl w:val="0"/>
        </w:rPr>
        <w:t xml:space="preserve">4</w:t>
      </w:r>
      <w:r w:rsidDel="00000000" w:rsidR="00000000" w:rsidRPr="00000000">
        <w:rPr>
          <w:rFonts w:ascii="Arial" w:cs="Arial" w:eastAsia="Arial" w:hAnsi="Arial"/>
          <w:color w:val="000000"/>
          <w:sz w:val="20"/>
          <w:szCs w:val="20"/>
          <w:rtl w:val="0"/>
        </w:rPr>
        <w:t xml:space="preserve"> – závazné znění SOSBK, </w:t>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Příloha č. </w:t>
      </w:r>
      <w:r w:rsidDel="00000000" w:rsidR="00000000" w:rsidRPr="00000000">
        <w:rPr>
          <w:rFonts w:ascii="Arial" w:cs="Arial" w:eastAsia="Arial" w:hAnsi="Arial"/>
          <w:sz w:val="20"/>
          <w:szCs w:val="20"/>
          <w:rtl w:val="0"/>
        </w:rPr>
        <w:t xml:space="preserve">5</w:t>
      </w:r>
      <w:r w:rsidDel="00000000" w:rsidR="00000000" w:rsidRPr="00000000">
        <w:rPr>
          <w:rFonts w:ascii="Arial" w:cs="Arial" w:eastAsia="Arial" w:hAnsi="Arial"/>
          <w:color w:val="000000"/>
          <w:sz w:val="20"/>
          <w:szCs w:val="20"/>
          <w:rtl w:val="0"/>
        </w:rPr>
        <w:t xml:space="preserve"> – vzorový formulář pro odstoupení od této Smlouvy.</w:t>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8">
      <w:pPr>
        <w:numPr>
          <w:ilvl w:val="0"/>
          <w:numId w:val="3"/>
        </w:numPr>
        <w:pBdr>
          <w:top w:space="0" w:sz="0" w:val="nil"/>
          <w:left w:space="0" w:sz="0" w:val="nil"/>
          <w:bottom w:space="0" w:sz="0" w:val="nil"/>
          <w:right w:space="0" w:sz="0" w:val="nil"/>
          <w:between w:space="0" w:sz="0" w:val="nil"/>
        </w:pBdr>
        <w:spacing w:after="0" w:line="240" w:lineRule="auto"/>
        <w:ind w:left="426"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Není-li v této Smlouvy stanoveno jinak, je možné tuto Smlouvu změnit pouze písemnou formou dodatku ke Smlouvě, přičemž podpisy stran musí být na téže listině. </w:t>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Smluvní strany prohlašují, že si Smlouvu před jejím podpisem řádně přečetly, že jejímu obsahu porozuměly, a že tato vyjadřuje jejich pravou a svobodnou vůli a na důkaz toho připojují své podpisy.</w:t>
      </w:r>
    </w:p>
    <w:p w:rsidR="00000000" w:rsidDel="00000000" w:rsidP="00000000" w:rsidRDefault="00000000" w:rsidRPr="00000000" w14:paraId="000000DB">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C">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V ______________ dne __________</w:t>
        <w:tab/>
        <w:tab/>
        <w:t xml:space="preserve">V ______________ dne __________ </w:t>
      </w:r>
    </w:p>
    <w:p w:rsidR="00000000" w:rsidDel="00000000" w:rsidP="00000000" w:rsidRDefault="00000000" w:rsidRPr="00000000" w14:paraId="000000DD">
      <w:pPr>
        <w:spacing w:after="0" w:line="24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DE">
      <w:pPr>
        <w:spacing w:after="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Prodávající:</w:t>
        <w:tab/>
        <w:tab/>
        <w:tab/>
        <w:tab/>
        <w:tab/>
        <w:t xml:space="preserve">Zájemce:</w:t>
      </w:r>
    </w:p>
    <w:p w:rsidR="00000000" w:rsidDel="00000000" w:rsidP="00000000" w:rsidRDefault="00000000" w:rsidRPr="00000000" w14:paraId="000000DF">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0">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1">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w:t>
        <w:tab/>
        <w:tab/>
        <w:t xml:space="preserve">______________________________</w:t>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PKRT Reality s.r.o.</w:t>
      </w:r>
      <w:r w:rsidDel="00000000" w:rsidR="00000000" w:rsidRPr="00000000">
        <w:rPr>
          <w:rFonts w:ascii="Arial" w:cs="Arial" w:eastAsia="Arial" w:hAnsi="Arial"/>
          <w:color w:val="000000"/>
          <w:sz w:val="20"/>
          <w:szCs w:val="20"/>
          <w:rtl w:val="0"/>
        </w:rPr>
        <w:tab/>
        <w:tab/>
        <w:tab/>
        <w:tab/>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Ing. Pavel Kopečný, jednatel</w:t>
      </w:r>
    </w:p>
    <w:sectPr>
      <w:headerReference r:id="rId10" w:type="default"/>
      <w:footerReference r:id="rId11" w:type="default"/>
      <w:pgSz w:h="16838" w:w="11906" w:orient="portrait"/>
      <w:pgMar w:bottom="993" w:top="1417" w:left="1417" w:right="1417"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Courier New"/>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jc w:val="right"/>
      <w:rPr>
        <w:color w:val="000000"/>
      </w:rPr>
    </w:pPr>
    <w:r w:rsidDel="00000000" w:rsidR="00000000" w:rsidRPr="00000000">
      <w:rPr>
        <w:rFonts w:ascii="Arial" w:cs="Arial" w:eastAsia="Arial" w:hAnsi="Arial"/>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2"/>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6">
    <w:lvl w:ilvl="0">
      <w:start w:val="1"/>
      <w:numFmt w:val="lowerRoman"/>
      <w:lvlText w:val="(%1)"/>
      <w:lvlJc w:val="lef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1146" w:hanging="360"/>
      </w:pPr>
      <w:rPr>
        <w:rFonts w:ascii="Noto Sans Symbols" w:cs="Noto Sans Symbols" w:eastAsia="Noto Sans Symbols" w:hAnsi="Noto Sans Symbols"/>
      </w:rPr>
    </w:lvl>
    <w:lvl w:ilvl="1">
      <w:start w:val="0"/>
      <w:numFmt w:val="bullet"/>
      <w:lvlText w:val="-"/>
      <w:lvlJc w:val="left"/>
      <w:pPr>
        <w:ind w:left="1866" w:hanging="360"/>
      </w:pPr>
      <w:rPr>
        <w:rFonts w:ascii="Times New Roman" w:cs="Times New Roman" w:eastAsia="Times New Roman" w:hAnsi="Times New Roman"/>
        <w:b w:val="1"/>
        <w:bCs w:val="1"/>
        <w:sz w:val="24"/>
        <w:szCs w:val="24"/>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10">
    <w:lvl w:ilvl="0">
      <w:start w:val="1"/>
      <w:numFmt w:val="lowerLetter"/>
      <w:lvlText w:val="%1)"/>
      <w:lvlJc w:val="left"/>
      <w:pPr>
        <w:ind w:left="2750" w:hanging="360"/>
      </w:pPr>
      <w:rPr>
        <w:b w:val="0"/>
        <w:bCs w:val="0"/>
      </w:rPr>
    </w:lvl>
    <w:lvl w:ilvl="1">
      <w:start w:val="1"/>
      <w:numFmt w:val="lowerLetter"/>
      <w:lvlText w:val="%2."/>
      <w:lvlJc w:val="left"/>
      <w:pPr>
        <w:ind w:left="3470" w:hanging="360"/>
      </w:pPr>
      <w:rPr/>
    </w:lvl>
    <w:lvl w:ilvl="2">
      <w:start w:val="1"/>
      <w:numFmt w:val="lowerRoman"/>
      <w:lvlText w:val="%3."/>
      <w:lvlJc w:val="right"/>
      <w:pPr>
        <w:ind w:left="4190" w:hanging="180"/>
      </w:pPr>
      <w:rPr/>
    </w:lvl>
    <w:lvl w:ilvl="3">
      <w:start w:val="1"/>
      <w:numFmt w:val="decimal"/>
      <w:lvlText w:val="%4."/>
      <w:lvlJc w:val="left"/>
      <w:pPr>
        <w:ind w:left="4910" w:hanging="360"/>
      </w:pPr>
      <w:rPr/>
    </w:lvl>
    <w:lvl w:ilvl="4">
      <w:start w:val="1"/>
      <w:numFmt w:val="lowerLetter"/>
      <w:lvlText w:val="%5."/>
      <w:lvlJc w:val="left"/>
      <w:pPr>
        <w:ind w:left="5630" w:hanging="360"/>
      </w:pPr>
      <w:rPr/>
    </w:lvl>
    <w:lvl w:ilvl="5">
      <w:start w:val="1"/>
      <w:numFmt w:val="lowerRoman"/>
      <w:lvlText w:val="%6."/>
      <w:lvlJc w:val="right"/>
      <w:pPr>
        <w:ind w:left="6350" w:hanging="180"/>
      </w:pPr>
      <w:rPr/>
    </w:lvl>
    <w:lvl w:ilvl="6">
      <w:start w:val="1"/>
      <w:numFmt w:val="decimal"/>
      <w:lvlText w:val="%7."/>
      <w:lvlJc w:val="left"/>
      <w:pPr>
        <w:ind w:left="7070" w:hanging="360"/>
      </w:pPr>
      <w:rPr/>
    </w:lvl>
    <w:lvl w:ilvl="7">
      <w:start w:val="1"/>
      <w:numFmt w:val="lowerLetter"/>
      <w:lvlText w:val="%8."/>
      <w:lvlJc w:val="left"/>
      <w:pPr>
        <w:ind w:left="7790" w:hanging="360"/>
      </w:pPr>
      <w:rPr/>
    </w:lvl>
    <w:lvl w:ilvl="8">
      <w:start w:val="1"/>
      <w:numFmt w:val="lowerRoman"/>
      <w:lvlText w:val="%9."/>
      <w:lvlJc w:val="right"/>
      <w:pPr>
        <w:ind w:left="8510" w:hanging="180"/>
      </w:pPr>
      <w:rPr/>
    </w:lvl>
  </w:abstractNum>
  <w:abstractNum w:abstractNumId="11">
    <w:lvl w:ilvl="0">
      <w:start w:val="2"/>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2">
    <w:lvl w:ilvl="0">
      <w:start w:val="1"/>
      <w:numFmt w:val="lowerLetter"/>
      <w:lvlText w:val="%1)"/>
      <w:lvlJc w:val="left"/>
      <w:pPr>
        <w:ind w:left="108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540" w:hanging="360"/>
      </w:pPr>
      <w:rPr/>
    </w:lvl>
    <w:lvl w:ilvl="1">
      <w:start w:val="1"/>
      <w:numFmt w:val="lowerLetter"/>
      <w:lvlText w:val="%2."/>
      <w:lvlJc w:val="left"/>
      <w:pPr>
        <w:ind w:left="1260" w:hanging="360"/>
      </w:pPr>
      <w:rPr/>
    </w:lvl>
    <w:lvl w:ilvl="2">
      <w:start w:val="1"/>
      <w:numFmt w:val="lowerRoman"/>
      <w:lvlText w:val="%3."/>
      <w:lvlJc w:val="right"/>
      <w:pPr>
        <w:ind w:left="1980" w:hanging="180"/>
      </w:pPr>
      <w:rPr/>
    </w:lvl>
    <w:lvl w:ilvl="3">
      <w:start w:val="1"/>
      <w:numFmt w:val="decimal"/>
      <w:lvlText w:val="%4."/>
      <w:lvlJc w:val="left"/>
      <w:pPr>
        <w:ind w:left="2700" w:hanging="360"/>
      </w:pPr>
      <w:rPr/>
    </w:lvl>
    <w:lvl w:ilvl="4">
      <w:start w:val="1"/>
      <w:numFmt w:val="lowerLetter"/>
      <w:lvlText w:val="%5."/>
      <w:lvlJc w:val="left"/>
      <w:pPr>
        <w:ind w:left="3420" w:hanging="360"/>
      </w:pPr>
      <w:rPr/>
    </w:lvl>
    <w:lvl w:ilvl="5">
      <w:start w:val="1"/>
      <w:numFmt w:val="lowerRoman"/>
      <w:lvlText w:val="%6."/>
      <w:lvlJc w:val="right"/>
      <w:pPr>
        <w:ind w:left="4140" w:hanging="180"/>
      </w:pPr>
      <w:rPr/>
    </w:lvl>
    <w:lvl w:ilvl="6">
      <w:start w:val="1"/>
      <w:numFmt w:val="decimal"/>
      <w:lvlText w:val="%7."/>
      <w:lvlJc w:val="left"/>
      <w:pPr>
        <w:ind w:left="4860" w:hanging="360"/>
      </w:pPr>
      <w:rPr/>
    </w:lvl>
    <w:lvl w:ilvl="7">
      <w:start w:val="1"/>
      <w:numFmt w:val="lowerLetter"/>
      <w:lvlText w:val="%8."/>
      <w:lvlJc w:val="left"/>
      <w:pPr>
        <w:ind w:left="5580" w:hanging="360"/>
      </w:pPr>
      <w:rPr/>
    </w:lvl>
    <w:lvl w:ilvl="8">
      <w:start w:val="1"/>
      <w:numFmt w:val="lowerRoman"/>
      <w:lvlText w:val="%9."/>
      <w:lvlJc w:val="right"/>
      <w:pPr>
        <w:ind w:left="6300" w:hanging="180"/>
      </w:pPr>
      <w:rPr/>
    </w:lvl>
  </w:abstractNum>
  <w:abstractNum w:abstractNumId="15">
    <w:lvl w:ilvl="0">
      <w:start w:val="1"/>
      <w:numFmt w:val="lowerRoman"/>
      <w:lvlText w:val="(%1)"/>
      <w:lvlJc w:val="left"/>
      <w:pPr>
        <w:ind w:left="1069" w:hanging="360"/>
      </w:pPr>
      <w:rPr>
        <w:rFonts w:ascii="Arial" w:cs="Arial" w:eastAsia="Arial" w:hAnsi="Arial"/>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c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240" w:lineRule="auto"/>
      <w:jc w:val="both"/>
    </w:pPr>
    <w:rPr>
      <w:rFonts w:ascii="Arial" w:cs="Arial" w:eastAsia="Arial" w:hAnsi="Arial"/>
      <w:b w:val="1"/>
      <w:bCs w:val="1"/>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www.uoou.cz"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pkrt.reality@gmail.com" TargetMode="External"/><Relationship Id="rId8" Type="http://schemas.openxmlformats.org/officeDocument/2006/relationships/hyperlink" Target="http://www.coi.cz"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Gjj7O+7CVjM3scm6KpsuvyvMpg==">CgMxLjAyDmguZGNsdGN3b2s2eDhiMg5oLno2bHI1eGU0aXdoazIOaC4zbGg0ZnRsMzBrNWYyDmguMTY1bnNubGVhdWU2OAByITFwV1FCYnhIYnpENXl4eXl5VmVPRmF6UHhaMG5UTjNhdA==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38939b85-7e40-4a1d-91e1-0e84c3b219d7_Enabled">
    <vt:lpwstr>true</vt:lpwstr>
  </property>
  <property fmtid="{D5CDD505-2E9C-101B-9397-08002B2CF9AE}" pid="3" name="MSIP_Label_38939b85-7e40-4a1d-91e1-0e84c3b219d7_SetDate">
    <vt:lpwstr>2026-04-12T16:45:10Z</vt:lpwstr>
  </property>
  <property fmtid="{D5CDD505-2E9C-101B-9397-08002B2CF9AE}" pid="4" name="MSIP_Label_38939b85-7e40-4a1d-91e1-0e84c3b219d7_Method">
    <vt:lpwstr>Standard</vt:lpwstr>
  </property>
  <property fmtid="{D5CDD505-2E9C-101B-9397-08002B2CF9AE}" pid="5" name="MSIP_Label_38939b85-7e40-4a1d-91e1-0e84c3b219d7_Name">
    <vt:lpwstr>38939b85-7e40-4a1d-91e1-0e84c3b219d7</vt:lpwstr>
  </property>
  <property fmtid="{D5CDD505-2E9C-101B-9397-08002B2CF9AE}" pid="6" name="MSIP_Label_38939b85-7e40-4a1d-91e1-0e84c3b219d7_SiteId">
    <vt:lpwstr>3ad0376a-54d3-49a6-9e20-52de0a92fc89</vt:lpwstr>
  </property>
  <property fmtid="{D5CDD505-2E9C-101B-9397-08002B2CF9AE}" pid="7" name="MSIP_Label_38939b85-7e40-4a1d-91e1-0e84c3b219d7_ActionId">
    <vt:lpwstr>c95eeec3-5b74-4dbd-9c34-6db508f81011</vt:lpwstr>
  </property>
  <property fmtid="{D5CDD505-2E9C-101B-9397-08002B2CF9AE}" pid="8" name="MSIP_Label_38939b85-7e40-4a1d-91e1-0e84c3b219d7_ContentBits">
    <vt:lpwstr>0</vt:lpwstr>
  </property>
  <property fmtid="{D5CDD505-2E9C-101B-9397-08002B2CF9AE}" pid="9" name="MSIP_Label_38939b85-7e40-4a1d-91e1-0e84c3b219d7_Tag">
    <vt:lpwstr>10, 3, 0, 1</vt:lpwstr>
  </property>
</Properties>
</file>